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9FAB2">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：电梯采购安装项目内容及要求</w:t>
      </w:r>
    </w:p>
    <w:p w14:paraId="2E3DF01F">
      <w:pPr>
        <w:keepNext w:val="0"/>
        <w:keepLines w:val="0"/>
        <w:pageBreakBefore w:val="0"/>
        <w:widowControl/>
        <w:shd w:val="clear" w:color="auto" w:fill="FFFFFF"/>
        <w:wordWrap/>
        <w:overflowPunct/>
        <w:topLinePunct w:val="0"/>
        <w:autoSpaceDE/>
        <w:autoSpaceDN/>
        <w:bidi w:val="0"/>
        <w:adjustRightInd/>
        <w:snapToGrid/>
        <w:spacing w:before="100" w:beforeLines="50" w:beforeAutospacing="0" w:after="100" w:afterLines="50" w:afterAutospacing="0" w:line="600" w:lineRule="exact"/>
        <w:jc w:val="center"/>
        <w:rPr>
          <w:rFonts w:hint="eastAsia" w:ascii="宋体" w:hAnsi="宋体" w:eastAsia="宋体" w:cs="宋体"/>
          <w:b/>
          <w:bCs/>
          <w:color w:val="auto"/>
          <w:kern w:val="0"/>
          <w:sz w:val="32"/>
          <w:szCs w:val="24"/>
          <w:highlight w:val="none"/>
          <w:u w:val="none"/>
          <w:shd w:val="clear" w:color="auto" w:fill="FFFFFF"/>
          <w:lang w:val="en-US" w:eastAsia="zh-CN" w:bidi="ar-SA"/>
        </w:rPr>
      </w:pPr>
      <w:r>
        <w:rPr>
          <w:rFonts w:hint="eastAsia" w:ascii="宋体" w:hAnsi="宋体" w:eastAsia="宋体" w:cs="宋体"/>
          <w:b/>
          <w:bCs/>
          <w:color w:val="auto"/>
          <w:kern w:val="0"/>
          <w:sz w:val="32"/>
          <w:szCs w:val="24"/>
          <w:highlight w:val="none"/>
          <w:u w:val="none"/>
          <w:shd w:val="clear" w:color="auto" w:fill="FFFFFF"/>
          <w:lang w:val="en-US" w:eastAsia="zh-CN" w:bidi="ar-SA"/>
        </w:rPr>
        <w:t>电梯采购安装项目内容及要求</w:t>
      </w:r>
    </w:p>
    <w:p w14:paraId="05E48190">
      <w:pPr>
        <w:widowControl w:val="0"/>
        <w:spacing w:before="152" w:line="460" w:lineRule="exact"/>
        <w:ind w:left="649" w:hanging="530"/>
        <w:jc w:val="left"/>
        <w:rPr>
          <w:rFonts w:hint="eastAsia" w:ascii="宋体" w:hAnsi="宋体" w:eastAsia="宋体" w:cs="宋体"/>
          <w:b/>
          <w:bCs/>
          <w:color w:val="auto"/>
          <w:kern w:val="2"/>
          <w:sz w:val="24"/>
          <w:szCs w:val="22"/>
          <w:highlight w:val="none"/>
          <w:u w:val="none"/>
          <w:lang w:val="zh-CN" w:eastAsia="zh-CN" w:bidi="zh-CN"/>
        </w:rPr>
      </w:pPr>
      <w:r>
        <w:rPr>
          <w:rFonts w:hint="eastAsia" w:ascii="宋体" w:hAnsi="宋体" w:eastAsia="宋体" w:cs="宋体"/>
          <w:b/>
          <w:bCs/>
          <w:color w:val="auto"/>
          <w:kern w:val="2"/>
          <w:sz w:val="24"/>
          <w:szCs w:val="22"/>
          <w:highlight w:val="none"/>
          <w:u w:val="none"/>
          <w:lang w:val="zh-CN" w:eastAsia="zh-CN" w:bidi="zh-CN"/>
        </w:rPr>
        <w:t>一、（根据本项目实际情况，填写“采购标的”或“项目概况”）</w:t>
      </w:r>
    </w:p>
    <w:p w14:paraId="0525A356">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720" w:firstLineChars="3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碧湖人才公寓电梯采购及安装项目，共1台电梯含设备采购、旧梯拆卸及土建整改部分、运输、安装调试、监检费、售后服务及相关手续办理等所有费用，拆下的旧梯抵拆梯人工费等。</w:t>
      </w:r>
    </w:p>
    <w:p w14:paraId="6538D73C">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技术和服务要求</w:t>
      </w:r>
    </w:p>
    <w:p w14:paraId="5FD24574">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1）负责电梯主机、轿厢、门系统、控制系统等全套设备的采购、运输至指定地点，并完成安装调试，保障电梯运行符合国家相关安全标准，稳定流畅，同时提供全面售后服务，涵盖定期维护保养与及时的故障维修响应。</w:t>
      </w:r>
    </w:p>
    <w:p w14:paraId="167EA961">
      <w:pPr>
        <w:keepNext w:val="0"/>
        <w:keepLines w:val="0"/>
        <w:pageBreakBefore w:val="0"/>
        <w:widowControl/>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left"/>
        <w:rPr>
          <w:rFonts w:hint="eastAsia" w:ascii="宋体" w:hAnsi="宋体" w:eastAsia="宋体" w:cs="宋体"/>
          <w:b w:val="0"/>
          <w:bCs w:val="0"/>
          <w:color w:val="auto"/>
          <w:kern w:val="0"/>
          <w:sz w:val="24"/>
          <w:szCs w:val="24"/>
          <w:highlight w:val="none"/>
          <w:u w:val="none"/>
          <w:lang w:val="en-US" w:eastAsia="zh-CN" w:bidi="ar-SA"/>
        </w:rPr>
      </w:pPr>
      <w:r>
        <w:rPr>
          <w:rFonts w:hint="eastAsia" w:ascii="宋体" w:hAnsi="宋体" w:eastAsia="宋体" w:cs="宋体"/>
          <w:b w:val="0"/>
          <w:bCs w:val="0"/>
          <w:color w:val="auto"/>
          <w:kern w:val="0"/>
          <w:sz w:val="24"/>
          <w:szCs w:val="24"/>
          <w:highlight w:val="none"/>
          <w:u w:val="none"/>
          <w:lang w:val="en-US" w:eastAsia="zh-CN" w:bidi="ar-SA"/>
        </w:rPr>
        <w:t>（2）电梯曳引机、电梯控制柜、电梯门机整机为原厂原品牌原商标产品，以确保设备品质与性能的一致性和可靠性。</w:t>
      </w:r>
    </w:p>
    <w:p w14:paraId="59F8947D">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0"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val="0"/>
          <w:bCs w:val="0"/>
          <w:color w:val="auto"/>
          <w:kern w:val="0"/>
          <w:sz w:val="24"/>
          <w:szCs w:val="24"/>
          <w:highlight w:val="none"/>
          <w:u w:val="none"/>
          <w:lang w:val="en-US" w:eastAsia="zh-CN" w:bidi="ar-SA"/>
        </w:rPr>
        <w:t>（3）产品质量需达国家有关规范合格标准，工程质量符合国家电梯工程施工质量验收相关规范合格要求，承担办理电梯安装各类手续及验收工作，确保电梯依法依规投入使用。</w:t>
      </w:r>
    </w:p>
    <w:p w14:paraId="77DEEF7D">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default"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其他要求</w:t>
      </w:r>
    </w:p>
    <w:p w14:paraId="520477E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1.付款条件</w:t>
      </w:r>
    </w:p>
    <w:p w14:paraId="1BFCF61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0"/>
          <w:sz w:val="24"/>
          <w:szCs w:val="24"/>
          <w:highlight w:val="none"/>
          <w:u w:val="none"/>
          <w:lang w:val="en-US" w:eastAsia="zh-CN" w:bidi="zh-CN"/>
        </w:rPr>
      </w:pPr>
      <w:r>
        <w:rPr>
          <w:rFonts w:hint="eastAsia" w:ascii="宋体" w:hAnsi="宋体" w:eastAsia="宋体" w:cs="宋体"/>
          <w:b/>
          <w:color w:val="auto"/>
          <w:kern w:val="0"/>
          <w:sz w:val="24"/>
          <w:szCs w:val="24"/>
          <w:highlight w:val="none"/>
          <w:u w:val="none"/>
          <w:lang w:val="en-US" w:eastAsia="zh-CN" w:bidi="zh-CN"/>
        </w:rPr>
        <w:t>付款方式:合同签订后7个日历天内支付30%预付款;货到工地双方清点验收后7个日历天内支付40%货款;经相关部门验收合格并取得使用证后15个日历天内支付30%尾款。</w:t>
      </w:r>
    </w:p>
    <w:p w14:paraId="0E54687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2.设备安装及安装调试</w:t>
      </w:r>
    </w:p>
    <w:p w14:paraId="72A5681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（1）中选单位应到现场进行实地测量技术数据并完成全部土建整改事项。</w:t>
      </w:r>
    </w:p>
    <w:p w14:paraId="407BE0A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（2）由中选单位对所有电梯进行安装、安装调试，并负责安装、安装调试及试运行所需井道灯、安全保护罩、专用灯座等设备材料的供应。</w:t>
      </w:r>
    </w:p>
    <w:p w14:paraId="3624079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（3）中选单位应配合项目建设进度(设备运达安装现场一周前)，向比选人提供安装、安装调试及试运行的施工组织计划、进度计划和施工作业计划及安全施工计划并签订施工安全责任书。</w:t>
      </w:r>
    </w:p>
    <w:p w14:paraId="75D0C60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中选单位在比选人建设工地现杨与比选人共同验收到货设备，并派专业人员在现场负责土建整改，做好电梯的安装调试工作。电梯安装的运输、起吊、脚手架(或安装平台)、施工调试过程中的电线电缆、安全防护措施等相关费用均由中选单位承担，比选人提供电源、水源。</w:t>
      </w:r>
    </w:p>
    <w:p w14:paraId="422F9E46">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（5）中选单位应派技术人员进行整机安装、安装调试及试运行。调试人员应为制造商派出的高水平技术人员。</w:t>
      </w:r>
    </w:p>
    <w:p w14:paraId="5061CFD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（6）积极配合比选人完善施工前准备工作，施工过程中产生的所有安全责任由中选单位承担。</w:t>
      </w:r>
    </w:p>
    <w:p w14:paraId="430733E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3.验收要求</w:t>
      </w:r>
    </w:p>
    <w:p w14:paraId="1650CE2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（1）验收标准：电梯设备的质量检验及验收按照生产厂家产品标准和中华人民共和国国家标准GB/TI0058-2009 《电梯技术条件》、G8/TI0059—2009 《电梯实验条件》、GBI0060-93《电梯安装验收规范》、GB7588-2003《电梯制造与安装安全规范》、GB50182-93(《电梯电器装置安装施工及验收规范》，当地技术监督部门的电梯验收规范及比选文件规定的技术要求。比选文件规定的技术要求与其他验收依据规定的技术条件不符合时,以标准高的为依据。</w:t>
      </w:r>
    </w:p>
    <w:p w14:paraId="454498C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（2）验收程序分三个阶段：分别为出厂检验、安装及安装调试检验、最终验收。</w:t>
      </w:r>
    </w:p>
    <w:p w14:paraId="50077BF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（3）验收费用：货物验收过程的费用由中选单位承担。</w:t>
      </w:r>
    </w:p>
    <w:p w14:paraId="05558E8A">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（4）技术资料要求：中选单位应在设备移交时向比选人提供以下完整的中文技术资料二套，其费用包括在报价总价中。</w:t>
      </w:r>
    </w:p>
    <w:p w14:paraId="43777E6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①产品验收标准；</w:t>
      </w:r>
    </w:p>
    <w:p w14:paraId="103BC6D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②技术说明书（含电气原理图及其符号说明）；</w:t>
      </w:r>
    </w:p>
    <w:p w14:paraId="332EFA3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③使用说明书；</w:t>
      </w:r>
    </w:p>
    <w:p w14:paraId="0BB660D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④设备安装、调试、维修线路原理图；</w:t>
      </w:r>
    </w:p>
    <w:p w14:paraId="46095D5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⑤零部件目录；</w:t>
      </w:r>
    </w:p>
    <w:p w14:paraId="0AB3F0F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⑥安装、维修及操作手册；</w:t>
      </w:r>
    </w:p>
    <w:p w14:paraId="18070BF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⑦安全部件(门锁、限速器、安全钳及缓冲器）的型式试验报告副本；</w:t>
      </w:r>
    </w:p>
    <w:p w14:paraId="3869F25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⑧出厂明细表(装箱单)；</w:t>
      </w:r>
    </w:p>
    <w:p w14:paraId="29A8229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⑨电梯使用证和电梯验收报告；</w:t>
      </w:r>
    </w:p>
    <w:p w14:paraId="5838C9C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⑩合同中要求的其他文件资料。</w:t>
      </w:r>
    </w:p>
    <w:p w14:paraId="0629FBA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4.售后服务</w:t>
      </w:r>
    </w:p>
    <w:p w14:paraId="3840B64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货物最终验收合格后质量保证期为贰年，每月固定保养2次，维保人员发现问题，随时调整电梯的运行状态，确保电梯运行处在最佳状态。在质量保证期内因质量问题电梯运行发生故障，中选单位应免费提供所有损坏部件并免费提供维修保养和咨询。免费保修期内因电梯及安装质量问题引起的事故责任均由中选单位承担。</w:t>
      </w:r>
    </w:p>
    <w:p w14:paraId="2DC6B84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中选单位需在本项目所在地设立售后维保服务点，必须有可随时上门作维修及检测的维保技术人员，电梯出现故障时，维修人员接到报修通知后，响应时间不超过30分钟，能在1小时内上门维修，并及时排除故障。维修人员在12小时内不能排除故障时，应负责联系制造商的技术人员到现场维修，制造商的技术人员接到报修通知后，到达故障现场时间不超过24小时。其费用在保修期内由中选单位负责。</w:t>
      </w:r>
    </w:p>
    <w:p w14:paraId="68E9370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（3）即时维修诊断或远程遥控维修系统，应能提供每周7×24小时的全天候售后服务，并确保有专人受理。</w:t>
      </w:r>
    </w:p>
    <w:p w14:paraId="4685593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5.违约责任</w:t>
      </w:r>
    </w:p>
    <w:p w14:paraId="7B8F974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5.1未按期交货的违约责任</w:t>
      </w:r>
    </w:p>
    <w:p w14:paraId="209580C3">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5.1.1如果卖方未能按合同规定的时间按时足额交货和的（不可抗力除外），在买方书面同意支付延期交货违约金的条件下，买方有权选择同意延长交货期还是不予延长交货期，买方同意延长交货期的，延期交货的时间由双方自行确定。延期交货违约金的支付买方有权从未付的合同货款中扣除。延期交货违约金比率为每迟交1天，按迟交货物金额的 1％。</w:t>
      </w:r>
    </w:p>
    <w:p w14:paraId="1E81EB0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5.1.2如果卖方未能按合同规定的时间或双方另行确定的延期交货期按时足额交货的（不可抗力除外），每逾期1天，卖方应按迟交货物金额的1％向买方支付逾期交货的违约金。逾期交货违约金的支付甲方有权从未付的合同货款中予以扣除。若乙方逾期交货达30天（含30天）以上的，买方有权单方解除本合同，卖方仍应按上述约定支付延期交货违约金。若因此给买方造成损失的，还应赔偿买方所受的损失。</w:t>
      </w:r>
    </w:p>
    <w:p w14:paraId="51F660E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5.1.3卖方应在提供设备的同时，提供该电梯配置为轿厢龙门架采用槽钢、支架1.8m一档、轿底加强筋横向25CM一档、轿底4mm花纹钢板、配置司机模式的承诺，如卖方提供的配置为虚假材料，视为卖方违约，建设单位有权追究责任。</w:t>
      </w:r>
    </w:p>
    <w:p w14:paraId="1963C00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5.2违约终止合同</w:t>
      </w:r>
    </w:p>
    <w:p w14:paraId="466646E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 xml:space="preserve">5.2.1在补救违约而采取的任何其他措施未能实现的情况下，即在买方发出的违约发生后30天内（或经买方书面确认的更长时间内）仍未纠正其下述任何一种违约行为，买方有权向卖方发出书面违约通知，买方终止本合同。  </w:t>
      </w:r>
    </w:p>
    <w:p w14:paraId="4F97FCC7">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5.2.2如果卖方未能在合同规定的期限内或双方另行确定的延期交货时间内交付合同约定的货物。</w:t>
      </w:r>
    </w:p>
    <w:p w14:paraId="0515E45E">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5.2.3卖方未能履行合同项下的任何其它义务。</w:t>
      </w:r>
    </w:p>
    <w:p w14:paraId="4A2C64E1">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违约:卖方应保证所供产品完全达到投标文件承诺的质量标准，所有配件均应按投标文件承诺的品牌提供，如出现负偏差，买方有权扣留进度款，严重的直至退货并终止合同，卖方赔偿买方一切损失。</w:t>
      </w:r>
    </w:p>
    <w:p w14:paraId="0BCE6D85">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保险：由卖方办理货物运抵工地现场这一段保险和安装施工中保险的手续，保险以人民币按照发票金额的110%办理“一切险”，保险范围包括卖方承诺装运的货物和安装施工中的有关保险，保险费用由卖方承担。</w:t>
      </w:r>
    </w:p>
    <w:p w14:paraId="0766C682">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6.本项目为交钥匙项目，合同的总金额包含设备价、税金、技术资料费、包装、从供方到采购方目的地的运输、装车、保险、卸货、一次搬运、安装及调试、监检费、井道照明、五方通话、土建整改、不锈钢大门套、拆下的旧梯抵拆梯人工费。其中卖方安装电缆应安装至机房内买方提供的电梯机房内三相五线制配电箱上；施工现场由买方提供施工用电源点，卖方负责就近接入无偿使用，所需电缆和配件由卖方承担；漏报、少报的均视为已含在其他已报子项中，买方不因此增加任何合同价款。因卖方未实施项目无法验收，买方有权委托第三方先行实施，并在货款中扣除。</w:t>
      </w:r>
    </w:p>
    <w:p w14:paraId="25E2D008">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7.电梯轿厢应根据井道现场实际尺寸进行设计，轿厢尺寸、面积应符合国家有关规定，所涉及的一切费用含在投标报价中，买方不因此增加合同价款。</w:t>
      </w:r>
    </w:p>
    <w:p w14:paraId="26403D1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8.中选人在项目实施过程中应严格遵守国家及地方相关法律法规、安全规范和质量标准，如因中选人原因导致项目出现质量问题、安全事故或延误工期等情况，中选人应承担相应的法律责任和经济赔偿责任。比选人有权对项目实施过程进行监督检查，中选人应积极配合并提供必要的资料和协助。</w:t>
      </w:r>
    </w:p>
    <w:p w14:paraId="00C3E524">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9.本项目合同签订后，未经比选人书面同意，中选人不得擅自将项目转包或分包给第三方。若发现中选人存在违规转包或分包行为，比选人有权解除合同，并要求中选人承担由此造成的一切损失。</w:t>
      </w:r>
    </w:p>
    <w:p w14:paraId="6A1E614C">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10.知识产权</w:t>
      </w:r>
    </w:p>
    <w:p w14:paraId="1B543CB9">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1）中选单位提供的采购标的应符合国家知识产权法律、法规的规定且非假冒伪劣品；中选单位还应保证比选人不受到第三方关于侵犯知识产权及专利权、商标权或工业设计权等知识产权方面的指控，若任何第三方提出此方面指控均与比选人无关，中选单位应与第三方交涉，并承担可能发生的一切法律责任、费用和后果；若比选人因此而遭致损失，则中选单位应赔偿该损失。</w:t>
      </w:r>
    </w:p>
    <w:p w14:paraId="10D61BE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00" w:beforeLines="50" w:beforeAutospacing="0" w:after="100" w:afterLines="50" w:afterAutospacing="0" w:line="600" w:lineRule="exact"/>
        <w:ind w:firstLine="482" w:firstLineChars="200"/>
        <w:jc w:val="both"/>
        <w:rPr>
          <w:rFonts w:hint="eastAsia" w:ascii="宋体" w:hAnsi="宋体" w:eastAsia="宋体" w:cs="宋体"/>
          <w:b/>
          <w:bCs/>
          <w:color w:val="auto"/>
          <w:kern w:val="2"/>
          <w:sz w:val="24"/>
          <w:szCs w:val="22"/>
          <w:highlight w:val="none"/>
          <w:u w:val="none"/>
          <w:lang w:val="en-US" w:eastAsia="zh-CN" w:bidi="zh-CN"/>
        </w:rPr>
      </w:pPr>
      <w:r>
        <w:rPr>
          <w:rFonts w:hint="eastAsia" w:ascii="宋体" w:hAnsi="宋体" w:eastAsia="宋体" w:cs="宋体"/>
          <w:b/>
          <w:bCs/>
          <w:color w:val="auto"/>
          <w:kern w:val="2"/>
          <w:sz w:val="24"/>
          <w:szCs w:val="22"/>
          <w:highlight w:val="none"/>
          <w:u w:val="none"/>
          <w:lang w:val="en-US" w:eastAsia="zh-CN" w:bidi="zh-CN"/>
        </w:rPr>
        <w:t>（2）若中选单位提供的采购标的不符合国家知识产权法律、法规的规定或被有关主管机关认定为假冒伪劣品，则中选单位中标资格将被取消；比选人还将按照有关法律、法规和规章的规定进行处理。</w:t>
      </w:r>
    </w:p>
    <w:p w14:paraId="19D8F2D5">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6908DC46">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7E3BA335">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0AE35159">
      <w:pPr>
        <w:pStyle w:val="2"/>
        <w:ind w:left="0" w:leftChars="0" w:firstLine="0" w:firstLineChars="0"/>
        <w:rPr>
          <w:rFonts w:hint="eastAsia" w:ascii="方正小标宋简体" w:hAnsi="方正小标宋简体" w:eastAsia="方正小标宋简体" w:cs="方正小标宋简体"/>
          <w:b w:val="0"/>
          <w:bCs/>
          <w:color w:val="auto"/>
          <w:sz w:val="32"/>
          <w:szCs w:val="32"/>
          <w:highlight w:val="none"/>
          <w:u w:val="none"/>
          <w:lang w:eastAsia="zh-CN"/>
        </w:rPr>
      </w:pPr>
    </w:p>
    <w:p w14:paraId="5813D88B">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1ADE8833">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0458DB7D">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lang w:eastAsia="zh-CN"/>
        </w:rPr>
      </w:pPr>
    </w:p>
    <w:p w14:paraId="62F3D869">
      <w:pPr>
        <w:spacing w:line="440" w:lineRule="exact"/>
        <w:jc w:val="center"/>
        <w:outlineLvl w:val="0"/>
        <w:rPr>
          <w:rFonts w:hint="eastAsia" w:ascii="方正小标宋简体" w:hAnsi="方正小标宋简体" w:eastAsia="方正小标宋简体" w:cs="方正小标宋简体"/>
          <w:b w:val="0"/>
          <w:bCs/>
          <w:color w:val="auto"/>
          <w:sz w:val="32"/>
          <w:szCs w:val="32"/>
          <w:highlight w:val="none"/>
          <w:u w:val="none"/>
        </w:rPr>
      </w:pPr>
      <w:r>
        <w:rPr>
          <w:rFonts w:hint="eastAsia" w:ascii="方正小标宋简体" w:hAnsi="方正小标宋简体" w:eastAsia="方正小标宋简体" w:cs="方正小标宋简体"/>
          <w:b w:val="0"/>
          <w:bCs/>
          <w:color w:val="auto"/>
          <w:sz w:val="32"/>
          <w:szCs w:val="32"/>
          <w:highlight w:val="none"/>
          <w:u w:val="none"/>
          <w:lang w:eastAsia="zh-CN"/>
        </w:rPr>
        <w:t>电梯技术规格一览表</w:t>
      </w:r>
    </w:p>
    <w:p w14:paraId="5CB1C16C">
      <w:pPr>
        <w:keepNext/>
        <w:keepLines/>
        <w:widowControl w:val="0"/>
        <w:spacing w:line="500" w:lineRule="exact"/>
        <w:jc w:val="center"/>
        <w:outlineLvl w:val="1"/>
        <w:rPr>
          <w:rFonts w:hint="eastAsia" w:ascii="方正小标宋简体" w:hAnsi="方正小标宋简体" w:eastAsia="方正小标宋简体" w:cs="方正小标宋简体"/>
          <w:b w:val="0"/>
          <w:bCs/>
          <w:kern w:val="2"/>
          <w:sz w:val="44"/>
          <w:szCs w:val="36"/>
          <w:lang w:val="en-US" w:eastAsia="zh-CN" w:bidi="ar-SA"/>
        </w:rPr>
      </w:pPr>
    </w:p>
    <w:tbl>
      <w:tblPr>
        <w:tblStyle w:val="10"/>
        <w:tblW w:w="10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2985"/>
        <w:gridCol w:w="3641"/>
      </w:tblGrid>
      <w:tr w14:paraId="4558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2A5621B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基本参数</w:t>
            </w:r>
          </w:p>
        </w:tc>
      </w:tr>
      <w:tr w14:paraId="1FD7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8CD7B21">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梯号</w:t>
            </w:r>
          </w:p>
        </w:tc>
        <w:tc>
          <w:tcPr>
            <w:tcW w:w="2985" w:type="dxa"/>
            <w:noWrap/>
            <w:vAlign w:val="center"/>
          </w:tcPr>
          <w:p w14:paraId="7DF9A635">
            <w:pPr>
              <w:widowControl/>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3641" w:type="dxa"/>
            <w:noWrap/>
            <w:vAlign w:val="center"/>
          </w:tcPr>
          <w:p w14:paraId="6D6A3DF5">
            <w:pPr>
              <w:widowControl/>
              <w:rPr>
                <w:rFonts w:hint="eastAsia" w:ascii="仿宋_GB2312" w:hAnsi="仿宋_GB2312" w:eastAsia="仿宋_GB2312" w:cs="仿宋_GB2312"/>
                <w:color w:val="auto"/>
                <w:kern w:val="0"/>
                <w:sz w:val="28"/>
                <w:szCs w:val="28"/>
              </w:rPr>
            </w:pPr>
          </w:p>
        </w:tc>
      </w:tr>
      <w:tr w14:paraId="67C8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2E75ADF">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电梯台数</w:t>
            </w:r>
          </w:p>
        </w:tc>
        <w:tc>
          <w:tcPr>
            <w:tcW w:w="2985" w:type="dxa"/>
            <w:noWrap/>
            <w:vAlign w:val="center"/>
          </w:tcPr>
          <w:p w14:paraId="7095E697">
            <w:pPr>
              <w:widowControl/>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val="en-US" w:eastAsia="zh-CN"/>
              </w:rPr>
              <w:t>1</w:t>
            </w:r>
          </w:p>
        </w:tc>
        <w:tc>
          <w:tcPr>
            <w:tcW w:w="3641" w:type="dxa"/>
            <w:noWrap/>
            <w:vAlign w:val="center"/>
          </w:tcPr>
          <w:p w14:paraId="41BC16EE">
            <w:pPr>
              <w:widowControl/>
              <w:rPr>
                <w:rFonts w:hint="eastAsia" w:ascii="仿宋_GB2312" w:hAnsi="仿宋_GB2312" w:eastAsia="仿宋_GB2312" w:cs="仿宋_GB2312"/>
                <w:color w:val="auto"/>
                <w:kern w:val="0"/>
                <w:sz w:val="28"/>
                <w:szCs w:val="28"/>
              </w:rPr>
            </w:pPr>
          </w:p>
        </w:tc>
      </w:tr>
      <w:tr w14:paraId="2C553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3F641BB">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color w:val="auto"/>
                <w:sz w:val="28"/>
                <w:szCs w:val="28"/>
              </w:rPr>
              <w:t>货物名称</w:t>
            </w:r>
          </w:p>
        </w:tc>
        <w:tc>
          <w:tcPr>
            <w:tcW w:w="2985" w:type="dxa"/>
            <w:noWrap/>
            <w:vAlign w:val="center"/>
          </w:tcPr>
          <w:p w14:paraId="6944677E">
            <w:pPr>
              <w:widowControl/>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有机房</w:t>
            </w:r>
            <w:r>
              <w:rPr>
                <w:rFonts w:hint="eastAsia" w:ascii="仿宋_GB2312" w:hAnsi="仿宋_GB2312" w:eastAsia="仿宋_GB2312" w:cs="仿宋_GB2312"/>
                <w:color w:val="auto"/>
                <w:kern w:val="0"/>
                <w:sz w:val="28"/>
                <w:szCs w:val="28"/>
                <w:lang w:eastAsia="zh-CN"/>
              </w:rPr>
              <w:t>观光梯</w:t>
            </w:r>
          </w:p>
        </w:tc>
        <w:tc>
          <w:tcPr>
            <w:tcW w:w="3641" w:type="dxa"/>
            <w:noWrap/>
            <w:vAlign w:val="center"/>
          </w:tcPr>
          <w:p w14:paraId="00432E56">
            <w:pPr>
              <w:widowControl/>
              <w:rPr>
                <w:rFonts w:hint="eastAsia" w:ascii="仿宋_GB2312" w:hAnsi="仿宋_GB2312" w:eastAsia="仿宋_GB2312" w:cs="仿宋_GB2312"/>
                <w:color w:val="auto"/>
                <w:kern w:val="0"/>
                <w:sz w:val="28"/>
                <w:szCs w:val="28"/>
              </w:rPr>
            </w:pPr>
          </w:p>
        </w:tc>
      </w:tr>
      <w:tr w14:paraId="5D8C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C8761E2">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载重</w:t>
            </w:r>
          </w:p>
        </w:tc>
        <w:tc>
          <w:tcPr>
            <w:tcW w:w="2985" w:type="dxa"/>
            <w:noWrap/>
            <w:vAlign w:val="center"/>
          </w:tcPr>
          <w:p w14:paraId="50C2F7F0">
            <w:pPr>
              <w:widowControl/>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800</w:t>
            </w:r>
            <w:r>
              <w:rPr>
                <w:rFonts w:hint="eastAsia" w:ascii="仿宋_GB2312" w:hAnsi="仿宋_GB2312" w:eastAsia="仿宋_GB2312" w:cs="仿宋_GB2312"/>
                <w:color w:val="auto"/>
                <w:kern w:val="0"/>
                <w:sz w:val="28"/>
                <w:szCs w:val="28"/>
              </w:rPr>
              <w:t>kg</w:t>
            </w:r>
          </w:p>
        </w:tc>
        <w:tc>
          <w:tcPr>
            <w:tcW w:w="3641" w:type="dxa"/>
            <w:noWrap/>
            <w:vAlign w:val="center"/>
          </w:tcPr>
          <w:p w14:paraId="62AE8E0C">
            <w:pPr>
              <w:widowControl/>
              <w:rPr>
                <w:rFonts w:hint="eastAsia" w:ascii="仿宋_GB2312" w:hAnsi="仿宋_GB2312" w:eastAsia="仿宋_GB2312" w:cs="仿宋_GB2312"/>
                <w:color w:val="auto"/>
                <w:kern w:val="0"/>
                <w:sz w:val="28"/>
                <w:szCs w:val="28"/>
              </w:rPr>
            </w:pPr>
          </w:p>
        </w:tc>
      </w:tr>
      <w:tr w14:paraId="7E56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BE7D46A">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速度</w:t>
            </w:r>
          </w:p>
        </w:tc>
        <w:tc>
          <w:tcPr>
            <w:tcW w:w="2985" w:type="dxa"/>
            <w:noWrap/>
            <w:vAlign w:val="center"/>
          </w:tcPr>
          <w:p w14:paraId="37CCE536">
            <w:pPr>
              <w:widowControl/>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1.75</w:t>
            </w:r>
            <w:r>
              <w:rPr>
                <w:rFonts w:hint="eastAsia" w:ascii="仿宋_GB2312" w:hAnsi="仿宋_GB2312" w:eastAsia="仿宋_GB2312" w:cs="仿宋_GB2312"/>
                <w:color w:val="auto"/>
                <w:kern w:val="0"/>
                <w:sz w:val="28"/>
                <w:szCs w:val="28"/>
              </w:rPr>
              <w:t>m/s</w:t>
            </w:r>
          </w:p>
        </w:tc>
        <w:tc>
          <w:tcPr>
            <w:tcW w:w="3641" w:type="dxa"/>
            <w:noWrap/>
            <w:vAlign w:val="center"/>
          </w:tcPr>
          <w:p w14:paraId="4A822873">
            <w:pPr>
              <w:widowControl/>
              <w:rPr>
                <w:rFonts w:hint="eastAsia" w:ascii="仿宋_GB2312" w:hAnsi="仿宋_GB2312" w:eastAsia="仿宋_GB2312" w:cs="仿宋_GB2312"/>
                <w:color w:val="auto"/>
                <w:kern w:val="0"/>
                <w:sz w:val="28"/>
                <w:szCs w:val="28"/>
              </w:rPr>
            </w:pPr>
          </w:p>
        </w:tc>
      </w:tr>
      <w:tr w14:paraId="17E5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DBE12FD">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层数</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b/>
                <w:bCs/>
                <w:color w:val="auto"/>
                <w:sz w:val="28"/>
                <w:szCs w:val="28"/>
              </w:rPr>
              <w:t>站数</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b/>
                <w:bCs/>
                <w:color w:val="auto"/>
                <w:sz w:val="28"/>
                <w:szCs w:val="28"/>
              </w:rPr>
              <w:t>开门数</w:t>
            </w:r>
          </w:p>
        </w:tc>
        <w:tc>
          <w:tcPr>
            <w:tcW w:w="2985" w:type="dxa"/>
            <w:noWrap/>
            <w:vAlign w:val="center"/>
          </w:tcPr>
          <w:p w14:paraId="5FEB602E">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17</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17</w:t>
            </w:r>
            <w:r>
              <w:rPr>
                <w:rFonts w:hint="eastAsia" w:ascii="仿宋_GB2312" w:hAnsi="仿宋_GB2312" w:eastAsia="仿宋_GB2312" w:cs="仿宋_GB2312"/>
                <w:color w:val="auto"/>
                <w:kern w:val="0"/>
                <w:sz w:val="28"/>
                <w:szCs w:val="28"/>
              </w:rPr>
              <w:t>/</w:t>
            </w:r>
            <w:r>
              <w:rPr>
                <w:rFonts w:hint="eastAsia" w:ascii="仿宋_GB2312" w:hAnsi="仿宋_GB2312" w:eastAsia="仿宋_GB2312" w:cs="仿宋_GB2312"/>
                <w:color w:val="auto"/>
                <w:kern w:val="0"/>
                <w:sz w:val="28"/>
                <w:szCs w:val="28"/>
                <w:lang w:val="en-US" w:eastAsia="zh-CN"/>
              </w:rPr>
              <w:t>17</w:t>
            </w:r>
          </w:p>
        </w:tc>
        <w:tc>
          <w:tcPr>
            <w:tcW w:w="3641" w:type="dxa"/>
            <w:noWrap/>
            <w:vAlign w:val="center"/>
          </w:tcPr>
          <w:p w14:paraId="63D5B09B">
            <w:pPr>
              <w:rPr>
                <w:rFonts w:hint="eastAsia" w:ascii="仿宋_GB2312" w:hAnsi="仿宋_GB2312" w:eastAsia="仿宋_GB2312" w:cs="仿宋_GB2312"/>
                <w:color w:val="auto"/>
                <w:kern w:val="0"/>
                <w:sz w:val="28"/>
                <w:szCs w:val="28"/>
              </w:rPr>
            </w:pPr>
          </w:p>
        </w:tc>
      </w:tr>
      <w:tr w14:paraId="63AA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B18D23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开门形式</w:t>
            </w:r>
          </w:p>
        </w:tc>
        <w:tc>
          <w:tcPr>
            <w:tcW w:w="2985" w:type="dxa"/>
            <w:noWrap/>
            <w:vAlign w:val="center"/>
          </w:tcPr>
          <w:p w14:paraId="1245FD39">
            <w:pPr>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中分门</w:t>
            </w:r>
          </w:p>
        </w:tc>
        <w:tc>
          <w:tcPr>
            <w:tcW w:w="3641" w:type="dxa"/>
            <w:noWrap/>
            <w:vAlign w:val="center"/>
          </w:tcPr>
          <w:p w14:paraId="22103ABE">
            <w:pPr>
              <w:rPr>
                <w:rFonts w:hint="eastAsia" w:ascii="仿宋_GB2312" w:hAnsi="仿宋_GB2312" w:eastAsia="仿宋_GB2312" w:cs="仿宋_GB2312"/>
                <w:color w:val="auto"/>
                <w:kern w:val="0"/>
                <w:sz w:val="28"/>
                <w:szCs w:val="28"/>
              </w:rPr>
            </w:pPr>
          </w:p>
        </w:tc>
      </w:tr>
      <w:tr w14:paraId="244A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64BF93E">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轿厢是否贯通门</w:t>
            </w:r>
          </w:p>
        </w:tc>
        <w:tc>
          <w:tcPr>
            <w:tcW w:w="2985" w:type="dxa"/>
            <w:noWrap/>
            <w:vAlign w:val="center"/>
          </w:tcPr>
          <w:p w14:paraId="7BA57C70">
            <w:pP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否</w:t>
            </w:r>
          </w:p>
        </w:tc>
        <w:tc>
          <w:tcPr>
            <w:tcW w:w="3641" w:type="dxa"/>
            <w:noWrap/>
            <w:vAlign w:val="center"/>
          </w:tcPr>
          <w:p w14:paraId="16A3C861">
            <w:pPr>
              <w:rPr>
                <w:rFonts w:hint="eastAsia" w:ascii="仿宋_GB2312" w:hAnsi="仿宋_GB2312" w:eastAsia="仿宋_GB2312" w:cs="仿宋_GB2312"/>
                <w:color w:val="auto"/>
                <w:kern w:val="0"/>
                <w:sz w:val="24"/>
                <w:szCs w:val="24"/>
              </w:rPr>
            </w:pPr>
          </w:p>
        </w:tc>
      </w:tr>
      <w:tr w14:paraId="7FA4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ACFF425">
            <w:pP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楼层显示</w:t>
            </w:r>
          </w:p>
        </w:tc>
        <w:tc>
          <w:tcPr>
            <w:tcW w:w="2985" w:type="dxa"/>
            <w:noWrap/>
            <w:vAlign w:val="center"/>
          </w:tcPr>
          <w:p w14:paraId="46D63231">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1,2,3</w:t>
            </w:r>
            <w:r>
              <w:rPr>
                <w:rFonts w:hint="eastAsia" w:ascii="仿宋_GB2312" w:hAnsi="仿宋_GB2312" w:eastAsia="仿宋_GB2312" w:cs="仿宋_GB2312"/>
                <w:color w:val="auto"/>
                <w:kern w:val="0"/>
                <w:sz w:val="28"/>
                <w:szCs w:val="28"/>
                <w:lang w:eastAsia="zh-CN"/>
              </w:rPr>
              <w:t>，……</w:t>
            </w:r>
            <w:r>
              <w:rPr>
                <w:rFonts w:hint="eastAsia" w:ascii="仿宋_GB2312" w:hAnsi="仿宋_GB2312" w:eastAsia="仿宋_GB2312" w:cs="仿宋_GB2312"/>
                <w:color w:val="auto"/>
                <w:kern w:val="0"/>
                <w:sz w:val="28"/>
                <w:szCs w:val="28"/>
                <w:lang w:val="en-US" w:eastAsia="zh-CN"/>
              </w:rPr>
              <w:t>17</w:t>
            </w:r>
          </w:p>
        </w:tc>
        <w:tc>
          <w:tcPr>
            <w:tcW w:w="3641" w:type="dxa"/>
            <w:noWrap/>
            <w:vAlign w:val="center"/>
          </w:tcPr>
          <w:p w14:paraId="22505A4B">
            <w:pPr>
              <w:rPr>
                <w:rFonts w:hint="eastAsia" w:ascii="仿宋_GB2312" w:hAnsi="仿宋_GB2312" w:eastAsia="仿宋_GB2312" w:cs="仿宋_GB2312"/>
                <w:color w:val="auto"/>
                <w:kern w:val="0"/>
                <w:sz w:val="28"/>
                <w:szCs w:val="28"/>
              </w:rPr>
            </w:pPr>
          </w:p>
        </w:tc>
      </w:tr>
      <w:tr w14:paraId="699D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6CFD229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基站位置</w:t>
            </w:r>
          </w:p>
        </w:tc>
        <w:tc>
          <w:tcPr>
            <w:tcW w:w="2985" w:type="dxa"/>
            <w:noWrap/>
            <w:vAlign w:val="center"/>
          </w:tcPr>
          <w:p w14:paraId="4625823A">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w:t>
            </w:r>
          </w:p>
        </w:tc>
        <w:tc>
          <w:tcPr>
            <w:tcW w:w="3641" w:type="dxa"/>
            <w:noWrap/>
            <w:vAlign w:val="center"/>
          </w:tcPr>
          <w:p w14:paraId="2801D6E5">
            <w:pPr>
              <w:rPr>
                <w:rFonts w:hint="eastAsia" w:ascii="仿宋_GB2312" w:hAnsi="仿宋_GB2312" w:eastAsia="仿宋_GB2312" w:cs="仿宋_GB2312"/>
                <w:color w:val="auto"/>
                <w:kern w:val="0"/>
                <w:sz w:val="28"/>
                <w:szCs w:val="28"/>
              </w:rPr>
            </w:pPr>
          </w:p>
        </w:tc>
      </w:tr>
      <w:tr w14:paraId="4FA2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6672729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轿厢及装潢</w:t>
            </w:r>
          </w:p>
        </w:tc>
      </w:tr>
      <w:tr w14:paraId="520B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069B87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轿厢规格(净宽×净深)</w:t>
            </w:r>
          </w:p>
        </w:tc>
        <w:tc>
          <w:tcPr>
            <w:tcW w:w="2985" w:type="dxa"/>
            <w:noWrap/>
            <w:vAlign w:val="center"/>
          </w:tcPr>
          <w:p w14:paraId="12D71643">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1500</w:t>
            </w:r>
            <w:r>
              <w:rPr>
                <w:rFonts w:hint="eastAsia" w:ascii="仿宋_GB2312" w:hAnsi="仿宋_GB2312" w:eastAsia="仿宋_GB2312" w:cs="仿宋_GB2312"/>
                <w:color w:val="auto"/>
                <w:kern w:val="0"/>
                <w:sz w:val="28"/>
                <w:szCs w:val="28"/>
              </w:rPr>
              <w:t>mmx</w:t>
            </w:r>
            <w:r>
              <w:rPr>
                <w:rFonts w:hint="eastAsia" w:ascii="仿宋_GB2312" w:hAnsi="仿宋_GB2312" w:eastAsia="仿宋_GB2312" w:cs="仿宋_GB2312"/>
                <w:color w:val="auto"/>
                <w:kern w:val="0"/>
                <w:sz w:val="28"/>
                <w:szCs w:val="28"/>
                <w:lang w:val="en-US" w:eastAsia="zh-CN"/>
              </w:rPr>
              <w:t>1600</w:t>
            </w:r>
            <w:r>
              <w:rPr>
                <w:rFonts w:hint="eastAsia" w:ascii="仿宋_GB2312" w:hAnsi="仿宋_GB2312" w:eastAsia="仿宋_GB2312" w:cs="仿宋_GB2312"/>
                <w:color w:val="auto"/>
                <w:kern w:val="0"/>
                <w:sz w:val="28"/>
                <w:szCs w:val="28"/>
              </w:rPr>
              <w:t>mm</w:t>
            </w:r>
          </w:p>
        </w:tc>
        <w:tc>
          <w:tcPr>
            <w:tcW w:w="3641" w:type="dxa"/>
            <w:noWrap/>
            <w:vAlign w:val="center"/>
          </w:tcPr>
          <w:p w14:paraId="607DB811">
            <w:pPr>
              <w:rPr>
                <w:rFonts w:hint="eastAsia" w:ascii="仿宋_GB2312" w:hAnsi="仿宋_GB2312" w:eastAsia="仿宋_GB2312" w:cs="仿宋_GB2312"/>
                <w:color w:val="auto"/>
                <w:kern w:val="0"/>
                <w:sz w:val="28"/>
                <w:szCs w:val="28"/>
              </w:rPr>
            </w:pPr>
          </w:p>
        </w:tc>
      </w:tr>
      <w:tr w14:paraId="1CC54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864A271">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轿厢净高</w:t>
            </w:r>
          </w:p>
        </w:tc>
        <w:tc>
          <w:tcPr>
            <w:tcW w:w="2985" w:type="dxa"/>
            <w:noWrap/>
            <w:vAlign w:val="center"/>
          </w:tcPr>
          <w:p w14:paraId="67B8848B">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2</w:t>
            </w:r>
            <w:r>
              <w:rPr>
                <w:rFonts w:hint="eastAsia" w:ascii="仿宋_GB2312" w:hAnsi="仿宋_GB2312" w:eastAsia="仿宋_GB2312" w:cs="仿宋_GB2312"/>
                <w:color w:val="auto"/>
                <w:kern w:val="0"/>
                <w:sz w:val="28"/>
                <w:szCs w:val="28"/>
                <w:lang w:val="en-US" w:eastAsia="zh-CN"/>
              </w:rPr>
              <w:t>6</w:t>
            </w:r>
            <w:r>
              <w:rPr>
                <w:rFonts w:hint="eastAsia" w:ascii="仿宋_GB2312" w:hAnsi="仿宋_GB2312" w:eastAsia="仿宋_GB2312" w:cs="仿宋_GB2312"/>
                <w:color w:val="auto"/>
                <w:kern w:val="0"/>
                <w:sz w:val="28"/>
                <w:szCs w:val="28"/>
              </w:rPr>
              <w:t>00mm</w:t>
            </w:r>
          </w:p>
        </w:tc>
        <w:tc>
          <w:tcPr>
            <w:tcW w:w="3641" w:type="dxa"/>
            <w:noWrap/>
            <w:vAlign w:val="center"/>
          </w:tcPr>
          <w:p w14:paraId="2CC1AAE1">
            <w:pPr>
              <w:rPr>
                <w:rFonts w:hint="eastAsia" w:ascii="仿宋_GB2312" w:hAnsi="仿宋_GB2312" w:eastAsia="仿宋_GB2312" w:cs="仿宋_GB2312"/>
                <w:color w:val="auto"/>
                <w:kern w:val="0"/>
                <w:sz w:val="28"/>
                <w:szCs w:val="28"/>
              </w:rPr>
            </w:pPr>
          </w:p>
        </w:tc>
      </w:tr>
      <w:tr w14:paraId="69D4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63BA7EF">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开门尺寸(净宽×净高)</w:t>
            </w:r>
          </w:p>
        </w:tc>
        <w:tc>
          <w:tcPr>
            <w:tcW w:w="2985" w:type="dxa"/>
            <w:noWrap/>
            <w:vAlign w:val="center"/>
          </w:tcPr>
          <w:p w14:paraId="49A64E65">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900</w:t>
            </w:r>
            <w:r>
              <w:rPr>
                <w:rFonts w:hint="eastAsia" w:ascii="仿宋_GB2312" w:hAnsi="仿宋_GB2312" w:eastAsia="仿宋_GB2312" w:cs="仿宋_GB2312"/>
                <w:color w:val="auto"/>
                <w:kern w:val="0"/>
                <w:sz w:val="28"/>
                <w:szCs w:val="28"/>
              </w:rPr>
              <w:t>mmx2</w:t>
            </w:r>
            <w:r>
              <w:rPr>
                <w:rFonts w:hint="eastAsia" w:ascii="仿宋_GB2312" w:hAnsi="仿宋_GB2312" w:eastAsia="仿宋_GB2312" w:cs="仿宋_GB2312"/>
                <w:color w:val="auto"/>
                <w:kern w:val="0"/>
                <w:sz w:val="28"/>
                <w:szCs w:val="28"/>
                <w:lang w:val="en-US" w:eastAsia="zh-CN"/>
              </w:rPr>
              <w:t>1</w:t>
            </w:r>
            <w:r>
              <w:rPr>
                <w:rFonts w:hint="eastAsia" w:ascii="仿宋_GB2312" w:hAnsi="仿宋_GB2312" w:eastAsia="仿宋_GB2312" w:cs="仿宋_GB2312"/>
                <w:color w:val="auto"/>
                <w:kern w:val="0"/>
                <w:sz w:val="28"/>
                <w:szCs w:val="28"/>
              </w:rPr>
              <w:t>00mm</w:t>
            </w:r>
          </w:p>
        </w:tc>
        <w:tc>
          <w:tcPr>
            <w:tcW w:w="3641" w:type="dxa"/>
            <w:noWrap/>
            <w:vAlign w:val="center"/>
          </w:tcPr>
          <w:p w14:paraId="0C1A58FA">
            <w:pPr>
              <w:rPr>
                <w:rFonts w:hint="eastAsia" w:ascii="仿宋_GB2312" w:hAnsi="仿宋_GB2312" w:eastAsia="仿宋_GB2312" w:cs="仿宋_GB2312"/>
                <w:color w:val="auto"/>
                <w:kern w:val="0"/>
                <w:sz w:val="28"/>
                <w:szCs w:val="28"/>
              </w:rPr>
            </w:pPr>
          </w:p>
        </w:tc>
      </w:tr>
      <w:tr w14:paraId="24E6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noWrap/>
            <w:vAlign w:val="center"/>
          </w:tcPr>
          <w:p w14:paraId="0C8D5441">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b/>
                <w:color w:val="auto"/>
                <w:sz w:val="28"/>
                <w:szCs w:val="28"/>
              </w:rPr>
              <w:t>电梯轿厢装饰（提供样册或相应图片）</w:t>
            </w:r>
          </w:p>
        </w:tc>
      </w:tr>
      <w:tr w14:paraId="3AD5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80EC177">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轿厢壁材质</w:t>
            </w:r>
          </w:p>
        </w:tc>
        <w:tc>
          <w:tcPr>
            <w:tcW w:w="2985" w:type="dxa"/>
            <w:noWrap/>
            <w:vAlign w:val="center"/>
          </w:tcPr>
          <w:p w14:paraId="5920B6DD">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571424CF">
            <w:pPr>
              <w:rPr>
                <w:rFonts w:hint="eastAsia" w:ascii="仿宋_GB2312" w:hAnsi="仿宋_GB2312" w:eastAsia="仿宋_GB2312" w:cs="仿宋_GB2312"/>
                <w:color w:val="auto"/>
                <w:kern w:val="0"/>
                <w:sz w:val="28"/>
                <w:szCs w:val="28"/>
              </w:rPr>
            </w:pPr>
          </w:p>
        </w:tc>
      </w:tr>
      <w:tr w14:paraId="533F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8B89E92">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轿门材质</w:t>
            </w:r>
          </w:p>
        </w:tc>
        <w:tc>
          <w:tcPr>
            <w:tcW w:w="2985" w:type="dxa"/>
            <w:noWrap/>
            <w:vAlign w:val="center"/>
          </w:tcPr>
          <w:p w14:paraId="7DA811F7">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33C62326">
            <w:pPr>
              <w:rPr>
                <w:rFonts w:hint="eastAsia" w:ascii="仿宋_GB2312" w:hAnsi="仿宋_GB2312" w:eastAsia="仿宋_GB2312" w:cs="仿宋_GB2312"/>
                <w:color w:val="auto"/>
                <w:kern w:val="0"/>
                <w:sz w:val="28"/>
                <w:szCs w:val="28"/>
              </w:rPr>
            </w:pPr>
          </w:p>
        </w:tc>
      </w:tr>
      <w:tr w14:paraId="46598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9492F84">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吊顶材质</w:t>
            </w:r>
          </w:p>
        </w:tc>
        <w:tc>
          <w:tcPr>
            <w:tcW w:w="2985" w:type="dxa"/>
            <w:noWrap/>
            <w:vAlign w:val="center"/>
          </w:tcPr>
          <w:p w14:paraId="47B0ACD9">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5FE3EF20">
            <w:pPr>
              <w:rPr>
                <w:rFonts w:hint="eastAsia" w:ascii="仿宋_GB2312" w:hAnsi="仿宋_GB2312" w:eastAsia="仿宋_GB2312" w:cs="仿宋_GB2312"/>
                <w:color w:val="auto"/>
                <w:kern w:val="0"/>
                <w:sz w:val="28"/>
                <w:szCs w:val="28"/>
              </w:rPr>
            </w:pPr>
          </w:p>
        </w:tc>
      </w:tr>
      <w:tr w14:paraId="79DB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3972612">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地板材质</w:t>
            </w:r>
          </w:p>
        </w:tc>
        <w:tc>
          <w:tcPr>
            <w:tcW w:w="2985" w:type="dxa"/>
            <w:noWrap/>
            <w:vAlign w:val="center"/>
          </w:tcPr>
          <w:p w14:paraId="089C6852">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PVC</w:t>
            </w:r>
          </w:p>
        </w:tc>
        <w:tc>
          <w:tcPr>
            <w:tcW w:w="3641" w:type="dxa"/>
            <w:noWrap/>
            <w:vAlign w:val="center"/>
          </w:tcPr>
          <w:p w14:paraId="735AB4ED">
            <w:pPr>
              <w:rPr>
                <w:rFonts w:hint="eastAsia" w:ascii="仿宋_GB2312" w:hAnsi="仿宋_GB2312" w:eastAsia="仿宋_GB2312" w:cs="仿宋_GB2312"/>
                <w:color w:val="auto"/>
                <w:kern w:val="0"/>
                <w:sz w:val="28"/>
                <w:szCs w:val="28"/>
              </w:rPr>
            </w:pPr>
          </w:p>
        </w:tc>
      </w:tr>
      <w:tr w14:paraId="70AB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0582771B">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操纵箱材质</w:t>
            </w:r>
          </w:p>
        </w:tc>
        <w:tc>
          <w:tcPr>
            <w:tcW w:w="2985" w:type="dxa"/>
            <w:noWrap/>
            <w:vAlign w:val="center"/>
          </w:tcPr>
          <w:p w14:paraId="791FE9CC">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585930A4">
            <w:pPr>
              <w:rPr>
                <w:rFonts w:hint="eastAsia" w:ascii="仿宋_GB2312" w:hAnsi="仿宋_GB2312" w:eastAsia="仿宋_GB2312" w:cs="仿宋_GB2312"/>
                <w:color w:val="auto"/>
                <w:kern w:val="0"/>
                <w:sz w:val="28"/>
                <w:szCs w:val="28"/>
              </w:rPr>
            </w:pPr>
          </w:p>
        </w:tc>
      </w:tr>
      <w:tr w14:paraId="5116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0FF1FA29">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层门</w:t>
            </w:r>
            <w:r>
              <w:rPr>
                <w:rFonts w:hint="eastAsia" w:ascii="仿宋_GB2312" w:hAnsi="仿宋_GB2312" w:eastAsia="仿宋_GB2312" w:cs="仿宋_GB2312"/>
                <w:b/>
                <w:color w:val="auto"/>
                <w:sz w:val="28"/>
                <w:szCs w:val="28"/>
                <w:shd w:val="clear" w:color="auto" w:fill="B8CCE4"/>
              </w:rPr>
              <w:t>及小门套装饰</w:t>
            </w:r>
          </w:p>
        </w:tc>
      </w:tr>
      <w:tr w14:paraId="044E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11F2750">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层门材质</w:t>
            </w:r>
          </w:p>
        </w:tc>
        <w:tc>
          <w:tcPr>
            <w:tcW w:w="2985" w:type="dxa"/>
            <w:noWrap/>
            <w:vAlign w:val="center"/>
          </w:tcPr>
          <w:p w14:paraId="533429EA">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1338C79C">
            <w:pPr>
              <w:rPr>
                <w:rFonts w:hint="eastAsia" w:ascii="仿宋_GB2312" w:hAnsi="仿宋_GB2312" w:eastAsia="仿宋_GB2312" w:cs="仿宋_GB2312"/>
                <w:color w:val="auto"/>
                <w:sz w:val="28"/>
                <w:szCs w:val="28"/>
              </w:rPr>
            </w:pPr>
          </w:p>
        </w:tc>
      </w:tr>
      <w:tr w14:paraId="2424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4C887348">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门套材质</w:t>
            </w:r>
          </w:p>
        </w:tc>
        <w:tc>
          <w:tcPr>
            <w:tcW w:w="2985" w:type="dxa"/>
            <w:noWrap/>
            <w:vAlign w:val="center"/>
          </w:tcPr>
          <w:p w14:paraId="29BB5C89">
            <w:pPr>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0"/>
                <w:sz w:val="28"/>
                <w:szCs w:val="28"/>
              </w:rPr>
              <w:t>304发纹不锈钢</w:t>
            </w:r>
          </w:p>
        </w:tc>
        <w:tc>
          <w:tcPr>
            <w:tcW w:w="3641" w:type="dxa"/>
            <w:noWrap/>
            <w:vAlign w:val="center"/>
          </w:tcPr>
          <w:p w14:paraId="13D9C345">
            <w:pPr>
              <w:rPr>
                <w:rFonts w:hint="eastAsia" w:ascii="仿宋_GB2312" w:hAnsi="仿宋_GB2312" w:eastAsia="仿宋_GB2312" w:cs="仿宋_GB2312"/>
                <w:color w:val="auto"/>
                <w:sz w:val="28"/>
                <w:szCs w:val="28"/>
              </w:rPr>
            </w:pPr>
          </w:p>
        </w:tc>
      </w:tr>
      <w:tr w14:paraId="05E5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A12137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门套类型</w:t>
            </w:r>
          </w:p>
        </w:tc>
        <w:tc>
          <w:tcPr>
            <w:tcW w:w="2985" w:type="dxa"/>
            <w:noWrap/>
            <w:vAlign w:val="center"/>
          </w:tcPr>
          <w:p w14:paraId="6280E3AA">
            <w:pPr>
              <w:rPr>
                <w:rFonts w:hint="eastAsia" w:ascii="仿宋_GB2312" w:hAnsi="仿宋_GB2312" w:eastAsia="仿宋_GB2312" w:cs="仿宋_GB2312"/>
                <w:b/>
                <w:color w:val="auto"/>
                <w:sz w:val="28"/>
                <w:szCs w:val="28"/>
              </w:rPr>
            </w:pPr>
            <w:r>
              <w:rPr>
                <w:rFonts w:hint="eastAsia" w:ascii="仿宋_GB2312" w:hAnsi="仿宋_GB2312" w:eastAsia="仿宋_GB2312" w:cs="仿宋_GB2312"/>
                <w:color w:val="auto"/>
                <w:kern w:val="0"/>
                <w:sz w:val="28"/>
                <w:szCs w:val="28"/>
              </w:rPr>
              <w:t>小门套</w:t>
            </w:r>
          </w:p>
        </w:tc>
        <w:tc>
          <w:tcPr>
            <w:tcW w:w="3641" w:type="dxa"/>
            <w:noWrap/>
            <w:vAlign w:val="center"/>
          </w:tcPr>
          <w:p w14:paraId="05AAD624">
            <w:pPr>
              <w:rPr>
                <w:rFonts w:hint="eastAsia" w:ascii="仿宋_GB2312" w:hAnsi="仿宋_GB2312" w:eastAsia="仿宋_GB2312" w:cs="仿宋_GB2312"/>
                <w:color w:val="auto"/>
                <w:kern w:val="0"/>
                <w:sz w:val="28"/>
                <w:szCs w:val="28"/>
              </w:rPr>
            </w:pPr>
          </w:p>
        </w:tc>
      </w:tr>
      <w:tr w14:paraId="23C42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C03472A">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召唤盒材质</w:t>
            </w:r>
          </w:p>
        </w:tc>
        <w:tc>
          <w:tcPr>
            <w:tcW w:w="2985" w:type="dxa"/>
            <w:noWrap/>
            <w:vAlign w:val="center"/>
          </w:tcPr>
          <w:p w14:paraId="04CDF7D2">
            <w:pPr>
              <w:widowControl w:val="0"/>
              <w:autoSpaceDE w:val="0"/>
              <w:autoSpaceDN w:val="0"/>
              <w:adjustRightInd w:val="0"/>
              <w:jc w:val="both"/>
              <w:rPr>
                <w:rFonts w:hint="eastAsia" w:ascii="仿宋_GB2312" w:hAnsi="仿宋_GB2312" w:eastAsia="仿宋_GB2312" w:cs="仿宋_GB2312"/>
                <w:color w:val="auto"/>
                <w:sz w:val="28"/>
                <w:szCs w:val="28"/>
                <w:lang w:val="en-US" w:eastAsia="zh-CN" w:bidi="ar-SA"/>
              </w:rPr>
            </w:pPr>
            <w:r>
              <w:rPr>
                <w:rFonts w:hint="eastAsia" w:ascii="仿宋_GB2312" w:hAnsi="仿宋_GB2312" w:eastAsia="仿宋_GB2312" w:cs="仿宋_GB2312"/>
                <w:color w:val="auto"/>
                <w:kern w:val="0"/>
                <w:sz w:val="28"/>
                <w:szCs w:val="28"/>
                <w:lang w:val="en-US" w:eastAsia="zh-CN" w:bidi="ar-SA"/>
              </w:rPr>
              <w:t>304发纹不锈钢</w:t>
            </w:r>
          </w:p>
        </w:tc>
        <w:tc>
          <w:tcPr>
            <w:tcW w:w="3641" w:type="dxa"/>
            <w:noWrap/>
            <w:vAlign w:val="center"/>
          </w:tcPr>
          <w:p w14:paraId="6CA8D36E">
            <w:pPr>
              <w:widowControl w:val="0"/>
              <w:autoSpaceDE w:val="0"/>
              <w:autoSpaceDN w:val="0"/>
              <w:adjustRightInd w:val="0"/>
              <w:jc w:val="both"/>
              <w:rPr>
                <w:rFonts w:hint="eastAsia" w:ascii="仿宋_GB2312" w:hAnsi="仿宋_GB2312" w:eastAsia="仿宋_GB2312" w:cs="仿宋_GB2312"/>
                <w:color w:val="auto"/>
                <w:sz w:val="28"/>
                <w:szCs w:val="28"/>
                <w:lang w:val="en-US" w:eastAsia="zh-CN" w:bidi="ar-SA"/>
              </w:rPr>
            </w:pPr>
          </w:p>
        </w:tc>
      </w:tr>
      <w:tr w14:paraId="7A66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shd w:val="clear" w:color="auto" w:fill="C6D9F1"/>
            <w:noWrap/>
            <w:vAlign w:val="center"/>
          </w:tcPr>
          <w:p w14:paraId="3615B8F9">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井道及部件</w:t>
            </w:r>
          </w:p>
        </w:tc>
      </w:tr>
      <w:tr w14:paraId="717B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778838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提升高度</w:t>
            </w:r>
          </w:p>
        </w:tc>
        <w:tc>
          <w:tcPr>
            <w:tcW w:w="2985" w:type="dxa"/>
            <w:noWrap/>
            <w:vAlign w:val="center"/>
          </w:tcPr>
          <w:p w14:paraId="255A1AAC">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50.0</w:t>
            </w:r>
            <w:r>
              <w:rPr>
                <w:rFonts w:hint="eastAsia" w:ascii="仿宋_GB2312" w:hAnsi="仿宋_GB2312" w:eastAsia="仿宋_GB2312" w:cs="仿宋_GB2312"/>
                <w:color w:val="auto"/>
                <w:kern w:val="0"/>
                <w:sz w:val="28"/>
                <w:szCs w:val="28"/>
              </w:rPr>
              <w:t>m</w:t>
            </w:r>
          </w:p>
        </w:tc>
        <w:tc>
          <w:tcPr>
            <w:tcW w:w="3641" w:type="dxa"/>
            <w:noWrap/>
            <w:vAlign w:val="center"/>
          </w:tcPr>
          <w:p w14:paraId="0CBE0969">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7B35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32C9FE0E">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井道尺寸（净宽×净深）</w:t>
            </w:r>
          </w:p>
        </w:tc>
        <w:tc>
          <w:tcPr>
            <w:tcW w:w="2985" w:type="dxa"/>
            <w:noWrap/>
            <w:vAlign w:val="center"/>
          </w:tcPr>
          <w:p w14:paraId="0A24273F">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lang w:val="en-US" w:eastAsia="zh-CN"/>
              </w:rPr>
              <w:t>2200mmx2600mm</w:t>
            </w:r>
          </w:p>
        </w:tc>
        <w:tc>
          <w:tcPr>
            <w:tcW w:w="3641" w:type="dxa"/>
            <w:noWrap/>
            <w:vAlign w:val="center"/>
          </w:tcPr>
          <w:p w14:paraId="28024C4B">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0F9D0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2589060">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顶层高度</w:t>
            </w:r>
          </w:p>
        </w:tc>
        <w:tc>
          <w:tcPr>
            <w:tcW w:w="2985" w:type="dxa"/>
            <w:noWrap/>
            <w:vAlign w:val="center"/>
          </w:tcPr>
          <w:p w14:paraId="2AA7981B">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4</w:t>
            </w:r>
            <w:r>
              <w:rPr>
                <w:rFonts w:hint="eastAsia" w:ascii="仿宋_GB2312" w:hAnsi="仿宋_GB2312" w:eastAsia="仿宋_GB2312" w:cs="仿宋_GB2312"/>
                <w:color w:val="auto"/>
                <w:kern w:val="0"/>
                <w:sz w:val="28"/>
                <w:szCs w:val="28"/>
                <w:lang w:val="en-US" w:eastAsia="zh-CN"/>
              </w:rPr>
              <w:t>7</w:t>
            </w:r>
            <w:r>
              <w:rPr>
                <w:rFonts w:hint="eastAsia" w:ascii="仿宋_GB2312" w:hAnsi="仿宋_GB2312" w:eastAsia="仿宋_GB2312" w:cs="仿宋_GB2312"/>
                <w:color w:val="auto"/>
                <w:kern w:val="0"/>
                <w:sz w:val="28"/>
                <w:szCs w:val="28"/>
              </w:rPr>
              <w:t>00mm</w:t>
            </w:r>
          </w:p>
        </w:tc>
        <w:tc>
          <w:tcPr>
            <w:tcW w:w="3641" w:type="dxa"/>
            <w:noWrap/>
            <w:vAlign w:val="center"/>
          </w:tcPr>
          <w:p w14:paraId="7A83067E">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7F35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15869213">
            <w:pPr>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底坑深度</w:t>
            </w:r>
          </w:p>
        </w:tc>
        <w:tc>
          <w:tcPr>
            <w:tcW w:w="2985" w:type="dxa"/>
            <w:noWrap/>
            <w:vAlign w:val="center"/>
          </w:tcPr>
          <w:p w14:paraId="669E910E">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1600mm</w:t>
            </w:r>
          </w:p>
        </w:tc>
        <w:tc>
          <w:tcPr>
            <w:tcW w:w="3641" w:type="dxa"/>
            <w:noWrap/>
            <w:vAlign w:val="center"/>
          </w:tcPr>
          <w:p w14:paraId="6C2FC217">
            <w:pPr>
              <w:rPr>
                <w:rFonts w:hint="eastAsia" w:ascii="仿宋_GB2312" w:hAnsi="仿宋_GB2312" w:eastAsia="仿宋_GB2312" w:cs="仿宋_GB2312"/>
                <w:color w:val="auto"/>
                <w:kern w:val="0"/>
                <w:sz w:val="28"/>
                <w:szCs w:val="28"/>
              </w:rPr>
            </w:pPr>
            <w:r>
              <w:rPr>
                <w:rFonts w:hint="eastAsia" w:ascii="仿宋_GB2312" w:hAnsi="仿宋_GB2312" w:eastAsia="仿宋_GB2312" w:cs="仿宋_GB2312"/>
                <w:color w:val="auto"/>
                <w:kern w:val="0"/>
                <w:sz w:val="28"/>
                <w:szCs w:val="28"/>
              </w:rPr>
              <w:t>仅供参考，以实际为准</w:t>
            </w:r>
          </w:p>
        </w:tc>
      </w:tr>
      <w:tr w14:paraId="2899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509" w:type="dxa"/>
            <w:gridSpan w:val="3"/>
            <w:noWrap/>
            <w:vAlign w:val="center"/>
          </w:tcPr>
          <w:p w14:paraId="18B0F28B">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其它要求</w:t>
            </w:r>
          </w:p>
        </w:tc>
      </w:tr>
      <w:tr w14:paraId="5E59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54BCE1A4">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轿厢空调</w:t>
            </w:r>
          </w:p>
        </w:tc>
        <w:tc>
          <w:tcPr>
            <w:tcW w:w="2985" w:type="dxa"/>
            <w:noWrap/>
            <w:vAlign w:val="center"/>
          </w:tcPr>
          <w:p w14:paraId="782E0E78">
            <w:pP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有</w:t>
            </w:r>
          </w:p>
        </w:tc>
        <w:tc>
          <w:tcPr>
            <w:tcW w:w="3641" w:type="dxa"/>
            <w:noWrap/>
            <w:vAlign w:val="center"/>
          </w:tcPr>
          <w:p w14:paraId="0BB42D4B">
            <w:pPr>
              <w:rPr>
                <w:rFonts w:hint="eastAsia" w:ascii="仿宋_GB2312" w:hAnsi="仿宋_GB2312" w:eastAsia="仿宋_GB2312" w:cs="仿宋_GB2312"/>
                <w:color w:val="auto"/>
                <w:kern w:val="0"/>
                <w:sz w:val="28"/>
                <w:szCs w:val="28"/>
              </w:rPr>
            </w:pPr>
          </w:p>
        </w:tc>
      </w:tr>
      <w:tr w14:paraId="3743C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32CD02A">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机房空调</w:t>
            </w:r>
          </w:p>
        </w:tc>
        <w:tc>
          <w:tcPr>
            <w:tcW w:w="2985" w:type="dxa"/>
            <w:noWrap/>
            <w:vAlign w:val="center"/>
          </w:tcPr>
          <w:p w14:paraId="49404119">
            <w:pPr>
              <w:rPr>
                <w:rFonts w:hint="eastAsia" w:ascii="仿宋_GB2312" w:hAnsi="仿宋_GB2312" w:eastAsia="仿宋_GB2312" w:cs="仿宋_GB2312"/>
                <w:color w:val="auto"/>
                <w:kern w:val="0"/>
                <w:sz w:val="28"/>
                <w:szCs w:val="28"/>
                <w:lang w:eastAsia="zh-CN"/>
              </w:rPr>
            </w:pPr>
            <w:r>
              <w:rPr>
                <w:rFonts w:hint="eastAsia" w:ascii="仿宋_GB2312" w:hAnsi="仿宋_GB2312" w:eastAsia="仿宋_GB2312" w:cs="仿宋_GB2312"/>
                <w:color w:val="auto"/>
                <w:kern w:val="0"/>
                <w:sz w:val="28"/>
                <w:szCs w:val="28"/>
                <w:lang w:eastAsia="zh-CN"/>
              </w:rPr>
              <w:t>有</w:t>
            </w:r>
          </w:p>
        </w:tc>
        <w:tc>
          <w:tcPr>
            <w:tcW w:w="3641" w:type="dxa"/>
            <w:noWrap/>
            <w:vAlign w:val="center"/>
          </w:tcPr>
          <w:p w14:paraId="7953A094">
            <w:pPr>
              <w:rPr>
                <w:rFonts w:hint="eastAsia" w:ascii="仿宋_GB2312" w:hAnsi="仿宋_GB2312" w:eastAsia="仿宋_GB2312" w:cs="仿宋_GB2312"/>
                <w:color w:val="auto"/>
                <w:kern w:val="0"/>
                <w:sz w:val="28"/>
                <w:szCs w:val="28"/>
              </w:rPr>
            </w:pPr>
          </w:p>
        </w:tc>
      </w:tr>
      <w:tr w14:paraId="7AAF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749E4684">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eastAsia="zh-CN"/>
              </w:rPr>
              <w:t>电梯免保期限</w:t>
            </w:r>
          </w:p>
        </w:tc>
        <w:tc>
          <w:tcPr>
            <w:tcW w:w="2985" w:type="dxa"/>
            <w:noWrap/>
            <w:vAlign w:val="center"/>
          </w:tcPr>
          <w:p w14:paraId="1052E388">
            <w:pPr>
              <w:rPr>
                <w:rFonts w:hint="default"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2年</w:t>
            </w:r>
          </w:p>
        </w:tc>
        <w:tc>
          <w:tcPr>
            <w:tcW w:w="3641" w:type="dxa"/>
            <w:noWrap/>
            <w:vAlign w:val="center"/>
          </w:tcPr>
          <w:p w14:paraId="422A4FAD">
            <w:pPr>
              <w:rPr>
                <w:rFonts w:hint="eastAsia" w:ascii="仿宋_GB2312" w:hAnsi="仿宋_GB2312" w:eastAsia="仿宋_GB2312" w:cs="仿宋_GB2312"/>
                <w:color w:val="auto"/>
                <w:kern w:val="0"/>
                <w:sz w:val="28"/>
                <w:szCs w:val="28"/>
              </w:rPr>
            </w:pPr>
          </w:p>
        </w:tc>
      </w:tr>
      <w:tr w14:paraId="42E7C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883" w:type="dxa"/>
            <w:noWrap/>
            <w:vAlign w:val="center"/>
          </w:tcPr>
          <w:p w14:paraId="2A8AC0BB">
            <w:pPr>
              <w:rPr>
                <w:rFonts w:hint="eastAsia" w:ascii="仿宋_GB2312" w:hAnsi="仿宋_GB2312" w:eastAsia="仿宋_GB2312" w:cs="仿宋_GB2312"/>
                <w:b/>
                <w:color w:val="auto"/>
                <w:sz w:val="28"/>
                <w:szCs w:val="28"/>
                <w:lang w:eastAsia="zh-CN"/>
              </w:rPr>
            </w:pPr>
            <w:r>
              <w:rPr>
                <w:rFonts w:hint="eastAsia" w:ascii="仿宋_GB2312" w:hAnsi="仿宋_GB2312" w:eastAsia="仿宋_GB2312" w:cs="仿宋_GB2312"/>
                <w:b/>
                <w:color w:val="auto"/>
                <w:sz w:val="28"/>
                <w:szCs w:val="28"/>
                <w:lang w:val="en-US" w:eastAsia="zh-CN"/>
              </w:rPr>
              <w:t>轿厢视频监控功能</w:t>
            </w:r>
          </w:p>
        </w:tc>
        <w:tc>
          <w:tcPr>
            <w:tcW w:w="2985" w:type="dxa"/>
            <w:noWrap/>
            <w:vAlign w:val="center"/>
          </w:tcPr>
          <w:p w14:paraId="7DE9463D">
            <w:pPr>
              <w:rPr>
                <w:rFonts w:hint="eastAsia" w:ascii="仿宋_GB2312" w:hAnsi="仿宋_GB2312" w:eastAsia="仿宋_GB2312" w:cs="仿宋_GB2312"/>
                <w:color w:val="auto"/>
                <w:kern w:val="0"/>
                <w:sz w:val="28"/>
                <w:szCs w:val="28"/>
                <w:lang w:val="en-US" w:eastAsia="zh-CN"/>
              </w:rPr>
            </w:pPr>
            <w:r>
              <w:rPr>
                <w:rFonts w:hint="eastAsia" w:ascii="仿宋_GB2312" w:hAnsi="仿宋_GB2312" w:eastAsia="仿宋_GB2312" w:cs="仿宋_GB2312"/>
                <w:color w:val="auto"/>
                <w:kern w:val="0"/>
                <w:sz w:val="28"/>
                <w:szCs w:val="28"/>
                <w:lang w:val="en-US" w:eastAsia="zh-CN"/>
              </w:rPr>
              <w:t>有</w:t>
            </w:r>
          </w:p>
        </w:tc>
        <w:tc>
          <w:tcPr>
            <w:tcW w:w="3641" w:type="dxa"/>
            <w:noWrap/>
            <w:vAlign w:val="center"/>
          </w:tcPr>
          <w:p w14:paraId="53820953">
            <w:pPr>
              <w:rPr>
                <w:rFonts w:hint="eastAsia" w:ascii="仿宋_GB2312" w:hAnsi="仿宋_GB2312" w:eastAsia="仿宋_GB2312" w:cs="仿宋_GB2312"/>
                <w:color w:val="auto"/>
                <w:kern w:val="0"/>
                <w:sz w:val="28"/>
                <w:szCs w:val="28"/>
              </w:rPr>
            </w:pPr>
          </w:p>
        </w:tc>
      </w:tr>
    </w:tbl>
    <w:p w14:paraId="25AE37BD">
      <w:pPr>
        <w:keepNext/>
        <w:keepLines/>
        <w:widowControl w:val="0"/>
        <w:jc w:val="center"/>
        <w:outlineLvl w:val="1"/>
        <w:rPr>
          <w:rFonts w:ascii="Arial" w:hAnsi="Arial" w:eastAsia="楷体" w:cs="Times New Roman"/>
          <w:b/>
          <w:kern w:val="2"/>
          <w:sz w:val="32"/>
          <w:szCs w:val="24"/>
          <w:lang w:val="en-US" w:eastAsia="zh-CN" w:bidi="ar-SA"/>
        </w:rPr>
      </w:pPr>
    </w:p>
    <w:p w14:paraId="74581F81">
      <w:pPr>
        <w:jc w:val="left"/>
        <w:rPr>
          <w:rFonts w:ascii="Times New Roman" w:hAnsi="Times New Roman" w:eastAsia="宋体" w:cs="Times New Roman"/>
          <w:szCs w:val="24"/>
        </w:rPr>
      </w:pPr>
    </w:p>
    <w:p w14:paraId="73BD8E19">
      <w:pPr>
        <w:jc w:val="left"/>
        <w:rPr>
          <w:rFonts w:ascii="Times New Roman" w:hAnsi="Times New Roman" w:eastAsia="宋体" w:cs="Times New Roman"/>
          <w:szCs w:val="24"/>
        </w:rPr>
      </w:pPr>
    </w:p>
    <w:p w14:paraId="4A014733">
      <w:pPr>
        <w:jc w:val="left"/>
        <w:rPr>
          <w:rFonts w:ascii="Times New Roman" w:hAnsi="Times New Roman" w:eastAsia="宋体" w:cs="Times New Roman"/>
          <w:szCs w:val="24"/>
        </w:rPr>
      </w:pPr>
    </w:p>
    <w:p w14:paraId="2E153B95">
      <w:pPr>
        <w:jc w:val="left"/>
        <w:rPr>
          <w:rFonts w:ascii="Times New Roman" w:hAnsi="Times New Roman" w:eastAsia="宋体" w:cs="Times New Roman"/>
          <w:szCs w:val="24"/>
        </w:rPr>
      </w:pPr>
    </w:p>
    <w:p w14:paraId="7F9B849D">
      <w:pPr>
        <w:jc w:val="left"/>
        <w:rPr>
          <w:rFonts w:ascii="Times New Roman" w:hAnsi="Times New Roman" w:eastAsia="宋体" w:cs="Times New Roman"/>
          <w:szCs w:val="24"/>
        </w:rPr>
      </w:pPr>
    </w:p>
    <w:p w14:paraId="0C3B71CD">
      <w:pPr>
        <w:jc w:val="left"/>
        <w:rPr>
          <w:rFonts w:ascii="Times New Roman" w:hAnsi="Times New Roman" w:eastAsia="宋体" w:cs="Times New Roman"/>
          <w:szCs w:val="24"/>
        </w:rPr>
      </w:pPr>
    </w:p>
    <w:p w14:paraId="5F897533">
      <w:pPr>
        <w:jc w:val="left"/>
        <w:rPr>
          <w:rFonts w:ascii="Times New Roman" w:hAnsi="Times New Roman" w:eastAsia="宋体" w:cs="Times New Roman"/>
          <w:szCs w:val="24"/>
        </w:rPr>
      </w:pPr>
    </w:p>
    <w:p w14:paraId="37621A6B">
      <w:pPr>
        <w:jc w:val="left"/>
        <w:rPr>
          <w:rFonts w:ascii="Times New Roman" w:hAnsi="Times New Roman" w:eastAsia="宋体" w:cs="Times New Roman"/>
          <w:szCs w:val="24"/>
        </w:rPr>
      </w:pPr>
    </w:p>
    <w:p w14:paraId="499C3C22">
      <w:pPr>
        <w:jc w:val="left"/>
        <w:rPr>
          <w:rFonts w:ascii="Times New Roman" w:hAnsi="Times New Roman" w:eastAsia="宋体" w:cs="Times New Roman"/>
          <w:szCs w:val="24"/>
        </w:rPr>
      </w:pPr>
    </w:p>
    <w:p w14:paraId="09BBC636">
      <w:pPr>
        <w:jc w:val="left"/>
        <w:rPr>
          <w:rFonts w:ascii="Times New Roman" w:hAnsi="Times New Roman" w:eastAsia="宋体" w:cs="Times New Roman"/>
          <w:szCs w:val="24"/>
        </w:rPr>
      </w:pPr>
    </w:p>
    <w:p w14:paraId="03AFC1A4">
      <w:pPr>
        <w:rPr>
          <w:rFonts w:ascii="Times New Roman" w:hAnsi="Times New Roman" w:eastAsia="宋体" w:cs="Times New Roman"/>
          <w:szCs w:val="24"/>
        </w:rPr>
      </w:pPr>
    </w:p>
    <w:p w14:paraId="7FABFAFA">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A307324">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C8C080">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三明市城市建设投资集团有限公司</w:t>
      </w:r>
      <w:r>
        <w:rPr>
          <w:rFonts w:hint="eastAsia"/>
          <w:color w:val="auto"/>
          <w:highlight w:val="none"/>
        </w:rPr>
        <w:t>（比选人）：</w:t>
      </w:r>
    </w:p>
    <w:p w14:paraId="5BFC80FD">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碧湖人才公寓电梯采购及安装项目</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碧湖人才公寓电梯采购及安装项目</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28E20C0A">
      <w:pPr>
        <w:pStyle w:val="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7B33BFDA">
      <w:pPr>
        <w:pStyle w:val="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授权函；</w:t>
      </w:r>
    </w:p>
    <w:p w14:paraId="19E15F73">
      <w:pPr>
        <w:pStyle w:val="9"/>
        <w:keepNext w:val="0"/>
        <w:keepLines w:val="0"/>
        <w:pageBreakBefore w:val="0"/>
        <w:numPr>
          <w:ilvl w:val="0"/>
          <w:numId w:val="2"/>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val="en-US" w:eastAsia="zh-CN"/>
        </w:rPr>
        <w:t>其他证明文件</w:t>
      </w:r>
      <w:r>
        <w:rPr>
          <w:rFonts w:hint="eastAsia"/>
          <w:i w:val="0"/>
          <w:iCs w:val="0"/>
          <w:color w:val="auto"/>
          <w:highlight w:val="none"/>
          <w:lang w:eastAsia="zh-CN"/>
        </w:rPr>
        <w:t>。</w:t>
      </w:r>
    </w:p>
    <w:p w14:paraId="6465F332">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2"/>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2"/>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2520" w:type="dxa"/>
            <w:noWrap w:val="0"/>
            <w:vAlign w:val="center"/>
          </w:tcPr>
          <w:p w14:paraId="53E089B6">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2"/>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2"/>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2"/>
              <w:jc w:val="center"/>
              <w:rPr>
                <w:rFonts w:hint="eastAsia" w:ascii="宋体" w:cs="仿宋_GB2312"/>
                <w:color w:val="auto"/>
                <w:spacing w:val="14"/>
                <w:szCs w:val="21"/>
                <w:highlight w:val="none"/>
              </w:rPr>
            </w:pPr>
          </w:p>
        </w:tc>
        <w:tc>
          <w:tcPr>
            <w:tcW w:w="1440" w:type="dxa"/>
            <w:noWrap w:val="0"/>
            <w:vAlign w:val="center"/>
          </w:tcPr>
          <w:p w14:paraId="760B961A">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2"/>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2"/>
              <w:jc w:val="center"/>
              <w:rPr>
                <w:rFonts w:hint="eastAsia" w:ascii="宋体" w:cs="仿宋_GB2312"/>
                <w:color w:val="auto"/>
                <w:spacing w:val="14"/>
                <w:szCs w:val="21"/>
                <w:highlight w:val="none"/>
              </w:rPr>
            </w:pPr>
          </w:p>
        </w:tc>
        <w:tc>
          <w:tcPr>
            <w:tcW w:w="1440" w:type="dxa"/>
            <w:noWrap w:val="0"/>
            <w:vAlign w:val="center"/>
          </w:tcPr>
          <w:p w14:paraId="0B18085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2"/>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2"/>
              <w:jc w:val="center"/>
              <w:rPr>
                <w:rFonts w:hint="eastAsia" w:ascii="宋体" w:cs="仿宋_GB2312"/>
                <w:color w:val="auto"/>
                <w:spacing w:val="14"/>
                <w:szCs w:val="21"/>
                <w:highlight w:val="none"/>
              </w:rPr>
            </w:pPr>
          </w:p>
        </w:tc>
        <w:tc>
          <w:tcPr>
            <w:tcW w:w="1440" w:type="dxa"/>
            <w:noWrap w:val="0"/>
            <w:vAlign w:val="center"/>
          </w:tcPr>
          <w:p w14:paraId="7638FBF7">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2"/>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2"/>
              <w:jc w:val="center"/>
              <w:rPr>
                <w:rFonts w:hint="eastAsia" w:ascii="宋体" w:cs="仿宋_GB2312"/>
                <w:color w:val="auto"/>
                <w:spacing w:val="14"/>
                <w:szCs w:val="21"/>
                <w:highlight w:val="none"/>
              </w:rPr>
            </w:pPr>
          </w:p>
        </w:tc>
        <w:tc>
          <w:tcPr>
            <w:tcW w:w="1440" w:type="dxa"/>
            <w:noWrap w:val="0"/>
            <w:vAlign w:val="center"/>
          </w:tcPr>
          <w:p w14:paraId="2AFDA817">
            <w:pPr>
              <w:pStyle w:val="12"/>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2"/>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2"/>
              <w:rPr>
                <w:rFonts w:hint="eastAsia" w:ascii="宋体" w:cs="仿宋_GB2312"/>
                <w:color w:val="auto"/>
                <w:spacing w:val="14"/>
                <w:szCs w:val="21"/>
                <w:highlight w:val="none"/>
              </w:rPr>
            </w:pPr>
          </w:p>
          <w:p w14:paraId="284038C2">
            <w:pPr>
              <w:pStyle w:val="12"/>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2"/>
        <w:rPr>
          <w:rFonts w:hint="eastAsia" w:ascii="宋体" w:cs="仿宋_GB2312"/>
          <w:color w:val="auto"/>
          <w:spacing w:val="14"/>
          <w:sz w:val="24"/>
          <w:highlight w:val="none"/>
        </w:rPr>
      </w:pPr>
    </w:p>
    <w:p w14:paraId="2CAAD86A">
      <w:pPr>
        <w:pStyle w:val="12"/>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2"/>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2"/>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须附上营业执照复印件、法定代表人身份证复印件、制</w:t>
      </w:r>
      <w:r>
        <w:rPr>
          <w:rFonts w:hint="eastAsia" w:ascii="宋体" w:hAnsi="宋体" w:eastAsia="宋体" w:cs="宋体"/>
          <w:b/>
          <w:bCs w:val="0"/>
          <w:i w:val="0"/>
          <w:iCs w:val="0"/>
          <w:color w:val="auto"/>
          <w:szCs w:val="21"/>
          <w:highlight w:val="none"/>
          <w:u w:val="double"/>
          <w:lang w:eastAsia="zh-CN"/>
        </w:rPr>
        <w:t>造许可证</w:t>
      </w:r>
      <w:r>
        <w:rPr>
          <w:rFonts w:hint="eastAsia" w:ascii="宋体" w:hAnsi="宋体" w:eastAsia="宋体" w:cs="宋体"/>
          <w:b/>
          <w:bCs w:val="0"/>
          <w:i w:val="0"/>
          <w:iCs w:val="0"/>
          <w:color w:val="auto"/>
          <w:szCs w:val="21"/>
          <w:highlight w:val="none"/>
          <w:u w:val="double"/>
          <w:lang w:val="en-US" w:eastAsia="zh-CN"/>
        </w:rPr>
        <w:t>或</w:t>
      </w:r>
      <w:r>
        <w:rPr>
          <w:rFonts w:hint="eastAsia" w:ascii="宋体" w:hAnsi="宋体" w:eastAsia="宋体" w:cs="宋体"/>
          <w:b/>
          <w:bCs w:val="0"/>
          <w:i w:val="0"/>
          <w:iCs w:val="0"/>
          <w:color w:val="auto"/>
          <w:szCs w:val="21"/>
          <w:highlight w:val="none"/>
          <w:u w:val="double"/>
          <w:lang w:eastAsia="zh-CN"/>
        </w:rPr>
        <w:t>生产许可证复印件、安装改造维修许可证</w:t>
      </w:r>
      <w:r>
        <w:rPr>
          <w:rFonts w:hint="eastAsia" w:ascii="宋体" w:hAnsi="宋体" w:eastAsia="宋体" w:cs="宋体"/>
          <w:b/>
          <w:bCs w:val="0"/>
          <w:i w:val="0"/>
          <w:iCs w:val="0"/>
          <w:color w:val="auto"/>
          <w:szCs w:val="21"/>
          <w:highlight w:val="none"/>
          <w:u w:val="double"/>
          <w:lang w:val="en-US" w:eastAsia="zh-CN"/>
        </w:rPr>
        <w:t>或生产许可证</w:t>
      </w:r>
      <w:r>
        <w:rPr>
          <w:rFonts w:hint="eastAsia" w:ascii="宋体" w:hAnsi="宋体" w:eastAsia="宋体" w:cs="宋体"/>
          <w:b/>
          <w:bCs w:val="0"/>
          <w:i w:val="0"/>
          <w:iCs w:val="0"/>
          <w:color w:val="auto"/>
          <w:szCs w:val="21"/>
          <w:highlight w:val="none"/>
          <w:u w:val="double"/>
          <w:lang w:eastAsia="zh-CN"/>
        </w:rPr>
        <w:t>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14:paraId="4EFA9D48">
      <w:pPr>
        <w:pStyle w:val="5"/>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9"/>
        <w:shd w:val="clear" w:color="auto" w:fill="FFFFFF"/>
        <w:spacing w:before="0" w:beforeAutospacing="0" w:after="0" w:afterAutospacing="0" w:line="560" w:lineRule="atLeast"/>
        <w:ind w:firstLine="640"/>
        <w:rPr>
          <w:color w:val="auto"/>
          <w:highlight w:val="none"/>
          <w:shd w:val="clear" w:color="auto" w:fill="FFFFFF"/>
        </w:rPr>
      </w:pPr>
    </w:p>
    <w:p w14:paraId="2E988B75">
      <w:pPr>
        <w:pStyle w:val="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9"/>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9"/>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6F3E9305">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590E67FA">
      <w:pPr>
        <w:widowControl w:val="0"/>
        <w:tabs>
          <w:tab w:val="left" w:pos="4650"/>
          <w:tab w:val="left" w:pos="9058"/>
        </w:tabs>
        <w:spacing w:before="170"/>
        <w:ind w:left="400"/>
        <w:jc w:val="both"/>
        <w:rPr>
          <w:rFonts w:hint="eastAsia" w:ascii="宋体"/>
          <w:b/>
          <w:color w:val="FF0000"/>
          <w:sz w:val="24"/>
          <w:szCs w:val="24"/>
          <w:highlight w:val="none"/>
          <w:lang w:val="en-US" w:eastAsia="zh-CN"/>
        </w:rPr>
      </w:pPr>
      <w:r>
        <w:rPr>
          <w:rFonts w:hint="eastAsia" w:ascii="宋体"/>
          <w:b/>
          <w:i w:val="0"/>
          <w:iCs w:val="0"/>
          <w:color w:val="auto"/>
          <w:sz w:val="24"/>
          <w:szCs w:val="24"/>
          <w:highlight w:val="none"/>
          <w:lang w:val="en-US" w:eastAsia="zh-CN"/>
        </w:rPr>
        <w:t>1-3.其他证明文件</w:t>
      </w:r>
    </w:p>
    <w:p w14:paraId="7486073A">
      <w:pPr>
        <w:pStyle w:val="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00F1C5F">
      <w:pPr>
        <w:pStyle w:val="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B6437C4">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3BE358B4">
      <w:pPr>
        <w:pStyle w:val="6"/>
        <w:rPr>
          <w:rFonts w:hint="eastAsia"/>
          <w:lang w:val="en-US" w:eastAsia="zh-CN"/>
        </w:rPr>
      </w:pPr>
    </w:p>
    <w:p w14:paraId="48C11ECA">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14:paraId="489FA158">
      <w:pPr>
        <w:pStyle w:val="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4B164F04">
      <w:pPr>
        <w:rPr>
          <w:rFonts w:hint="eastAsia" w:ascii="黑体" w:hAnsi="黑体" w:eastAsia="黑体" w:cs="黑体"/>
          <w:color w:val="auto"/>
          <w:sz w:val="32"/>
          <w:szCs w:val="32"/>
          <w:highlight w:val="none"/>
          <w:shd w:val="clear" w:color="auto" w:fill="FFFFFF"/>
          <w:lang w:eastAsia="zh-CN"/>
        </w:rPr>
      </w:pPr>
    </w:p>
    <w:p w14:paraId="21D53778">
      <w:pPr>
        <w:rPr>
          <w:color w:val="auto"/>
          <w:sz w:val="24"/>
          <w:szCs w:val="24"/>
          <w:highlight w:val="none"/>
          <w:u w:val="none"/>
        </w:rPr>
      </w:pPr>
    </w:p>
    <w:p w14:paraId="24E282FB">
      <w:pPr>
        <w:pStyle w:val="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10"/>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报价</w:t>
            </w:r>
            <w:r>
              <w:rPr>
                <w:rFonts w:hint="eastAsia" w:ascii="宋体" w:hAnsi="宋体" w:eastAsia="宋体" w:cs="宋体"/>
                <w:color w:val="auto"/>
                <w:kern w:val="0"/>
                <w:sz w:val="24"/>
                <w:szCs w:val="24"/>
                <w:lang w:val="en-US" w:eastAsia="zh-CN" w:bidi="ar-SA"/>
              </w:rPr>
              <w:t>（含税）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766"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kern w:val="0"/>
                <w:sz w:val="24"/>
                <w:szCs w:val="24"/>
                <w:lang w:val="en-US" w:eastAsia="zh-CN" w:bidi="ar-SA"/>
              </w:rPr>
            </w:pPr>
          </w:p>
        </w:tc>
      </w:tr>
      <w:tr w14:paraId="1021EDA3">
        <w:tblPrEx>
          <w:tblCellMar>
            <w:top w:w="0" w:type="dxa"/>
            <w:left w:w="0" w:type="dxa"/>
            <w:bottom w:w="0" w:type="dxa"/>
            <w:right w:w="0" w:type="dxa"/>
          </w:tblCellMar>
        </w:tblPrEx>
        <w:trPr>
          <w:trHeight w:val="130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1台含税价格，此限价包含设备采购、旧梯拆卸及土建整改部分、运输、安装调试、监检费、工程咨询服务费（项目建议书）、售后服务及相关手续办理等后期所有费用，拆下的旧梯抵拆梯人工费</w:t>
            </w:r>
          </w:p>
        </w:tc>
      </w:tr>
    </w:tbl>
    <w:p w14:paraId="009A090F">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FF0000"/>
          <w:highlight w:val="none"/>
          <w:lang w:val="en-US" w:eastAsia="zh-CN"/>
        </w:rPr>
      </w:pPr>
    </w:p>
    <w:p w14:paraId="304A3E0F">
      <w:pPr>
        <w:pStyle w:val="9"/>
        <w:spacing w:before="0" w:beforeAutospacing="0" w:after="0" w:afterAutospacing="0" w:line="480" w:lineRule="auto"/>
        <w:ind w:firstLine="640"/>
        <w:jc w:val="both"/>
        <w:rPr>
          <w:color w:val="auto"/>
          <w:highlight w:val="none"/>
        </w:rPr>
      </w:pPr>
    </w:p>
    <w:p w14:paraId="583E0FF6">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5"/>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6"/>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报价函应独立密封。</w:t>
      </w:r>
    </w:p>
    <w:p w14:paraId="4A425465">
      <w:pPr>
        <w:pStyle w:val="6"/>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2F0E564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7"/>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7"/>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E616E042"/>
    <w:multiLevelType w:val="singleLevel"/>
    <w:tmpl w:val="E616E042"/>
    <w:lvl w:ilvl="0" w:tentative="0">
      <w:start w:val="2"/>
      <w:numFmt w:val="chineseCounting"/>
      <w:suff w:val="nothing"/>
      <w:lvlText w:val="%1、"/>
      <w:lvlJc w:val="left"/>
      <w:rPr>
        <w:rFonts w:hint="eastAsia"/>
      </w:r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C55E2"/>
    <w:rsid w:val="001D2941"/>
    <w:rsid w:val="051B5D5C"/>
    <w:rsid w:val="06793602"/>
    <w:rsid w:val="07FA48EB"/>
    <w:rsid w:val="08813484"/>
    <w:rsid w:val="0AD15767"/>
    <w:rsid w:val="0C696775"/>
    <w:rsid w:val="0E9B5C68"/>
    <w:rsid w:val="10A13C1E"/>
    <w:rsid w:val="1149296F"/>
    <w:rsid w:val="13435C52"/>
    <w:rsid w:val="138111A4"/>
    <w:rsid w:val="14721286"/>
    <w:rsid w:val="16572359"/>
    <w:rsid w:val="16AE6971"/>
    <w:rsid w:val="180209C1"/>
    <w:rsid w:val="199118B3"/>
    <w:rsid w:val="19EF0556"/>
    <w:rsid w:val="1A286F50"/>
    <w:rsid w:val="1B8516E3"/>
    <w:rsid w:val="1BCA29BF"/>
    <w:rsid w:val="1BF37098"/>
    <w:rsid w:val="1C213D5F"/>
    <w:rsid w:val="1CAE19A9"/>
    <w:rsid w:val="1DB32DCD"/>
    <w:rsid w:val="1E004533"/>
    <w:rsid w:val="204207E1"/>
    <w:rsid w:val="21F5782B"/>
    <w:rsid w:val="23E6648D"/>
    <w:rsid w:val="273D0F11"/>
    <w:rsid w:val="276E62C6"/>
    <w:rsid w:val="2B1C0523"/>
    <w:rsid w:val="2C4F478E"/>
    <w:rsid w:val="2CD74926"/>
    <w:rsid w:val="2FA726E8"/>
    <w:rsid w:val="2FF938DD"/>
    <w:rsid w:val="31ED1B80"/>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0D02CB5"/>
    <w:rsid w:val="422C581F"/>
    <w:rsid w:val="44DE2B26"/>
    <w:rsid w:val="49385984"/>
    <w:rsid w:val="499748DD"/>
    <w:rsid w:val="4E831672"/>
    <w:rsid w:val="530036F7"/>
    <w:rsid w:val="53EB153E"/>
    <w:rsid w:val="540E0494"/>
    <w:rsid w:val="549A3C1D"/>
    <w:rsid w:val="55C3364C"/>
    <w:rsid w:val="571D1478"/>
    <w:rsid w:val="5798263F"/>
    <w:rsid w:val="58FE2FA1"/>
    <w:rsid w:val="59C42BEB"/>
    <w:rsid w:val="5AED5C88"/>
    <w:rsid w:val="5B165439"/>
    <w:rsid w:val="5D275002"/>
    <w:rsid w:val="5D4E5938"/>
    <w:rsid w:val="5D5B202C"/>
    <w:rsid w:val="5D685CD4"/>
    <w:rsid w:val="5EB9765E"/>
    <w:rsid w:val="5EEF0B39"/>
    <w:rsid w:val="60447537"/>
    <w:rsid w:val="61C7381F"/>
    <w:rsid w:val="62DE6A8D"/>
    <w:rsid w:val="630D169B"/>
    <w:rsid w:val="64AC55E2"/>
    <w:rsid w:val="664B60ED"/>
    <w:rsid w:val="69365695"/>
    <w:rsid w:val="6B8542F6"/>
    <w:rsid w:val="6B907733"/>
    <w:rsid w:val="6FA75832"/>
    <w:rsid w:val="728C40C5"/>
    <w:rsid w:val="73145CED"/>
    <w:rsid w:val="73BA52CD"/>
    <w:rsid w:val="74916507"/>
    <w:rsid w:val="74DE0C00"/>
    <w:rsid w:val="74DE7E19"/>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3">
    <w:name w:val="Body Text Indent"/>
    <w:basedOn w:val="1"/>
    <w:next w:val="1"/>
    <w:qFormat/>
    <w:uiPriority w:val="0"/>
    <w:pPr>
      <w:spacing w:after="120" w:afterLines="0"/>
      <w:ind w:left="420" w:leftChars="200"/>
    </w:pPr>
  </w:style>
  <w:style w:type="paragraph" w:styleId="5">
    <w:name w:val="Normal Indent"/>
    <w:basedOn w:val="1"/>
    <w:qFormat/>
    <w:uiPriority w:val="0"/>
    <w:pPr>
      <w:ind w:firstLine="420"/>
    </w:pPr>
  </w:style>
  <w:style w:type="paragraph" w:styleId="6">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2">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2025-11-25T09:51:00Z</dcterms:created>
  <dc:creator>爬</dc:creator>
  <cp:lastModifiedBy>爬</cp:lastModifiedBy>
  <dcterms:modified xsi:type="dcterms:W3CDTF">2025-11-25T09:51:56Z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A1FA6C77D299485BBD73902C24127418_11</vt:lpwstr>
  </property>
  <property fmtid="{D5CDD505-2E9C-101B-9397-08002B2CF9AE}" pid="4" name="KSOTemplateDocerSaveRecord">
    <vt:lpwstr>eyJoZGlkIjoiY2QyMWZmZWRjMmRkOGNlMGI5NDcyN2EyOGNmOWFjNjciLCJ1c2VySWQiOiI0MDg2OTk1MTEifQ==</vt:lpwstr>
  </property>
</Properties>
</file>